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kern w:val="0"/>
          <w:sz w:val="30"/>
          <w:szCs w:val="30"/>
        </w:rPr>
      </w:pPr>
      <w:bookmarkStart w:id="0" w:name="_Toc455650937"/>
      <w:r>
        <w:rPr>
          <w:kern w:val="0"/>
          <w:sz w:val="30"/>
          <w:szCs w:val="30"/>
        </w:rPr>
        <w:t>XXXX</w:t>
      </w:r>
      <w:bookmarkEnd w:id="0"/>
      <w:r>
        <w:rPr>
          <w:rFonts w:hint="eastAsia"/>
          <w:kern w:val="0"/>
          <w:sz w:val="30"/>
          <w:szCs w:val="30"/>
        </w:rPr>
        <w:t>领域（代码：XXXX）</w:t>
      </w:r>
    </w:p>
    <w:p/>
    <w:p>
      <w:pPr>
        <w:spacing w:beforeLines="50" w:afterLines="50"/>
        <w:ind w:firstLine="422" w:firstLineChars="200"/>
        <w:rPr>
          <w:rFonts w:ascii="宋体" w:cs="宋体"/>
          <w:kern w:val="0"/>
          <w:szCs w:val="21"/>
        </w:rPr>
      </w:pPr>
      <w:r>
        <w:rPr>
          <w:rFonts w:hint="eastAsia" w:ascii="宋体" w:hAnsi="宋体" w:cs="宋体"/>
          <w:b/>
          <w:bCs/>
          <w:kern w:val="0"/>
          <w:szCs w:val="21"/>
        </w:rPr>
        <w:t>一、领域简介</w:t>
      </w:r>
      <w:r>
        <w:rPr>
          <w:rFonts w:hint="eastAsia" w:ascii="宋体" w:hAnsi="宋体" w:cs="宋体"/>
          <w:kern w:val="0"/>
          <w:szCs w:val="21"/>
        </w:rPr>
        <w:t>：约</w:t>
      </w:r>
      <w:r>
        <w:rPr>
          <w:rFonts w:ascii="宋体" w:hAnsi="宋体" w:cs="宋体"/>
          <w:kern w:val="0"/>
          <w:szCs w:val="21"/>
        </w:rPr>
        <w:t>500</w:t>
      </w:r>
      <w:r>
        <w:rPr>
          <w:rFonts w:hint="eastAsia" w:ascii="宋体" w:hAnsi="宋体" w:cs="宋体"/>
          <w:kern w:val="0"/>
          <w:szCs w:val="21"/>
        </w:rPr>
        <w:t>字</w:t>
      </w:r>
    </w:p>
    <w:p>
      <w:pPr>
        <w:spacing w:beforeLines="50" w:afterLines="50"/>
        <w:ind w:firstLine="422" w:firstLineChars="200"/>
        <w:rPr>
          <w:rFonts w:ascii="宋体" w:cs="宋体"/>
          <w:b/>
          <w:bCs/>
          <w:szCs w:val="21"/>
        </w:rPr>
      </w:pPr>
      <w:r>
        <w:rPr>
          <w:rFonts w:hint="eastAsia" w:ascii="宋体" w:hAnsi="宋体" w:cs="宋体"/>
          <w:b/>
          <w:bCs/>
          <w:kern w:val="0"/>
          <w:szCs w:val="21"/>
        </w:rPr>
        <w:t>二、</w:t>
      </w:r>
      <w:r>
        <w:rPr>
          <w:rFonts w:hint="eastAsia" w:ascii="宋体" w:hAnsi="宋体" w:cs="宋体"/>
          <w:b/>
          <w:bCs/>
          <w:szCs w:val="21"/>
        </w:rPr>
        <w:t>主要研究方向</w:t>
      </w:r>
    </w:p>
    <w:p>
      <w:pPr>
        <w:ind w:firstLine="420"/>
        <w:rPr>
          <w:rFonts w:ascii="宋体" w:hAnsi="宋体" w:cs="宋体"/>
          <w:szCs w:val="21"/>
        </w:rPr>
      </w:pPr>
      <w:r>
        <w:rPr>
          <w:rFonts w:ascii="宋体" w:hAnsi="宋体" w:cs="宋体"/>
          <w:szCs w:val="21"/>
        </w:rPr>
        <w:t>1</w:t>
      </w:r>
      <w:r>
        <w:rPr>
          <w:rFonts w:hint="eastAsia" w:ascii="宋体" w:hAnsi="宋体" w:cs="宋体"/>
          <w:szCs w:val="21"/>
        </w:rPr>
        <w:t>、</w:t>
      </w:r>
    </w:p>
    <w:p>
      <w:pPr>
        <w:ind w:firstLine="420"/>
        <w:rPr>
          <w:rFonts w:ascii="宋体" w:cs="宋体"/>
          <w:color w:val="000000"/>
          <w:kern w:val="0"/>
          <w:szCs w:val="21"/>
        </w:rPr>
      </w:pPr>
      <w:r>
        <w:rPr>
          <w:rFonts w:ascii="宋体" w:hAnsi="宋体" w:cs="宋体"/>
          <w:color w:val="000000"/>
          <w:kern w:val="0"/>
          <w:szCs w:val="21"/>
        </w:rPr>
        <w:t>2</w:t>
      </w:r>
      <w:r>
        <w:rPr>
          <w:rFonts w:hint="eastAsia" w:ascii="宋体" w:hAnsi="宋体" w:cs="宋体"/>
          <w:color w:val="000000"/>
          <w:kern w:val="0"/>
          <w:szCs w:val="21"/>
        </w:rPr>
        <w:t>、</w:t>
      </w:r>
    </w:p>
    <w:p>
      <w:pPr>
        <w:rPr>
          <w:rFonts w:ascii="宋体" w:cs="宋体"/>
          <w:kern w:val="0"/>
          <w:szCs w:val="21"/>
        </w:rPr>
      </w:pPr>
      <w:r>
        <w:rPr>
          <w:rFonts w:ascii="宋体" w:hAnsi="宋体" w:cs="宋体"/>
          <w:szCs w:val="21"/>
        </w:rPr>
        <w:t xml:space="preserve">     </w:t>
      </w:r>
      <w:r>
        <w:rPr>
          <w:rFonts w:hint="eastAsia" w:ascii="宋体" w:hAnsi="宋体" w:cs="宋体"/>
          <w:szCs w:val="21"/>
        </w:rPr>
        <w:t>……</w:t>
      </w:r>
    </w:p>
    <w:p>
      <w:pPr>
        <w:rPr>
          <w:rFonts w:ascii="宋体" w:cs="宋体"/>
          <w:b/>
          <w:bCs/>
          <w:kern w:val="0"/>
          <w:szCs w:val="21"/>
        </w:rPr>
      </w:pPr>
      <w:r>
        <w:rPr>
          <w:rFonts w:ascii="宋体" w:hAnsi="宋体" w:cs="宋体"/>
          <w:b/>
          <w:bCs/>
          <w:kern w:val="0"/>
          <w:szCs w:val="21"/>
        </w:rPr>
        <w:t xml:space="preserve">    </w:t>
      </w:r>
      <w:r>
        <w:rPr>
          <w:rFonts w:hint="eastAsia" w:ascii="宋体" w:hAnsi="宋体" w:cs="宋体"/>
          <w:b/>
          <w:bCs/>
          <w:kern w:val="0"/>
          <w:szCs w:val="21"/>
        </w:rPr>
        <w:t>三、培养目标</w:t>
      </w:r>
    </w:p>
    <w:p>
      <w:pPr>
        <w:widowControl/>
        <w:adjustRightInd w:val="0"/>
        <w:spacing w:before="50" w:line="360" w:lineRule="auto"/>
        <w:ind w:firstLine="420" w:firstLineChars="200"/>
        <w:rPr>
          <w:rFonts w:ascii="宋体" w:cs="仿宋_GB2312"/>
          <w:color w:val="000000"/>
          <w:kern w:val="0"/>
          <w:szCs w:val="21"/>
        </w:rPr>
      </w:pPr>
      <w:r>
        <w:rPr>
          <w:rFonts w:ascii="宋体" w:hAnsi="宋体" w:cs="仿宋_GB2312"/>
          <w:color w:val="000000"/>
          <w:kern w:val="0"/>
          <w:szCs w:val="21"/>
        </w:rPr>
        <w:t>1</w:t>
      </w:r>
      <w:r>
        <w:rPr>
          <w:rFonts w:hint="eastAsia" w:ascii="宋体" w:hAnsi="宋体" w:cs="仿宋_GB2312"/>
          <w:color w:val="000000"/>
          <w:kern w:val="0"/>
          <w:szCs w:val="21"/>
        </w:rPr>
        <w:t>、拥护党的基本路线和方针政策，热爱祖国，遵纪守法，具有良好的职业道德和敬业精神。</w:t>
      </w:r>
    </w:p>
    <w:p>
      <w:pPr>
        <w:widowControl/>
        <w:adjustRightInd w:val="0"/>
        <w:spacing w:before="50" w:line="360" w:lineRule="auto"/>
        <w:ind w:firstLine="420" w:firstLineChars="200"/>
        <w:rPr>
          <w:rFonts w:ascii="宋体" w:cs="仿宋_GB2312"/>
          <w:color w:val="000000"/>
          <w:kern w:val="0"/>
          <w:szCs w:val="21"/>
        </w:rPr>
      </w:pPr>
      <w:r>
        <w:rPr>
          <w:rFonts w:ascii="宋体" w:hAnsi="宋体" w:cs="仿宋_GB2312"/>
          <w:color w:val="000000"/>
          <w:kern w:val="0"/>
          <w:szCs w:val="21"/>
        </w:rPr>
        <w:t>2</w:t>
      </w:r>
      <w:r>
        <w:rPr>
          <w:rFonts w:hint="eastAsia" w:ascii="宋体" w:hAnsi="宋体" w:cs="仿宋_GB2312"/>
          <w:color w:val="000000"/>
          <w:kern w:val="0"/>
          <w:szCs w:val="21"/>
        </w:rPr>
        <w:t>、</w:t>
      </w:r>
      <w:r>
        <w:rPr>
          <w:rFonts w:hint="eastAsia" w:ascii="宋体" w:hAnsi="宋体"/>
          <w:szCs w:val="21"/>
        </w:rPr>
        <w:t>掌握某一专业（或职业）领域坚实的基础理论和宽广的专业知识、具有较强的解决实际问题的能力，能够承担专业技术或管理工作、具有良好的职业素养的高层次应用型专门人才。</w:t>
      </w:r>
    </w:p>
    <w:p>
      <w:pPr>
        <w:widowControl/>
        <w:adjustRightInd w:val="0"/>
        <w:spacing w:before="50" w:line="360" w:lineRule="auto"/>
        <w:ind w:firstLine="420" w:firstLineChars="200"/>
        <w:rPr>
          <w:rFonts w:ascii="宋体" w:cs="仿宋_GB2312"/>
          <w:color w:val="000000"/>
          <w:kern w:val="0"/>
          <w:szCs w:val="21"/>
        </w:rPr>
      </w:pPr>
      <w:r>
        <w:rPr>
          <w:rFonts w:ascii="宋体" w:hAnsi="宋体" w:cs="仿宋_GB2312"/>
          <w:color w:val="000000"/>
          <w:kern w:val="0"/>
          <w:szCs w:val="21"/>
        </w:rPr>
        <w:t>3</w:t>
      </w:r>
      <w:r>
        <w:rPr>
          <w:rFonts w:hint="eastAsia" w:ascii="宋体" w:hAnsi="宋体" w:cs="仿宋_GB2312"/>
          <w:color w:val="000000"/>
          <w:kern w:val="0"/>
          <w:szCs w:val="21"/>
        </w:rPr>
        <w:t>、掌握一门外国语，</w:t>
      </w:r>
      <w:r>
        <w:rPr>
          <w:rFonts w:hint="eastAsia" w:ascii="宋体" w:hAnsi="宋体"/>
          <w:color w:val="000000"/>
          <w:szCs w:val="21"/>
        </w:rPr>
        <w:t>能熟练地进行专业阅读和写作。</w:t>
      </w:r>
    </w:p>
    <w:p>
      <w:pPr>
        <w:spacing w:before="50" w:line="360" w:lineRule="auto"/>
        <w:ind w:firstLine="420" w:firstLineChars="200"/>
        <w:rPr>
          <w:rFonts w:ascii="宋体" w:hAnsi="宋体"/>
          <w:color w:val="000000"/>
          <w:szCs w:val="21"/>
        </w:rPr>
      </w:pPr>
      <w:r>
        <w:rPr>
          <w:rFonts w:ascii="宋体" w:hAnsi="宋体" w:cs="仿宋_GB2312"/>
          <w:color w:val="000000"/>
          <w:kern w:val="0"/>
          <w:szCs w:val="21"/>
        </w:rPr>
        <w:t>4</w:t>
      </w:r>
      <w:r>
        <w:rPr>
          <w:rFonts w:hint="eastAsia" w:ascii="宋体" w:hAnsi="宋体" w:cs="仿宋_GB2312"/>
          <w:color w:val="000000"/>
          <w:kern w:val="0"/>
          <w:szCs w:val="21"/>
        </w:rPr>
        <w:t>、</w:t>
      </w:r>
      <w:r>
        <w:rPr>
          <w:rFonts w:hint="eastAsia" w:ascii="宋体" w:hAnsi="宋体"/>
          <w:color w:val="000000"/>
          <w:szCs w:val="21"/>
        </w:rPr>
        <w:t>具有健康的体质与良好的心理素质。</w:t>
      </w:r>
    </w:p>
    <w:p>
      <w:pPr>
        <w:spacing w:beforeLines="50" w:line="360" w:lineRule="auto"/>
        <w:ind w:firstLine="420" w:firstLineChars="200"/>
        <w:rPr>
          <w:rFonts w:ascii="宋体" w:cs="宋体"/>
          <w:szCs w:val="21"/>
        </w:rPr>
      </w:pPr>
      <w:r>
        <w:rPr>
          <w:rFonts w:hint="eastAsia" w:ascii="宋体" w:hAnsi="宋体"/>
          <w:color w:val="000000"/>
          <w:szCs w:val="21"/>
        </w:rPr>
        <w:t>各专业领域应根据上述基本要求，结合自身特点，在培养目标中提出更具体的要求。</w:t>
      </w:r>
    </w:p>
    <w:p>
      <w:pPr>
        <w:ind w:firstLine="422" w:firstLineChars="200"/>
        <w:rPr>
          <w:rFonts w:ascii="宋体" w:cs="宋体"/>
          <w:b/>
          <w:bCs/>
          <w:szCs w:val="21"/>
        </w:rPr>
      </w:pPr>
      <w:r>
        <w:rPr>
          <w:rFonts w:hint="eastAsia" w:ascii="宋体" w:hAnsi="宋体" w:cs="宋体"/>
          <w:b/>
          <w:bCs/>
          <w:szCs w:val="21"/>
        </w:rPr>
        <w:t>四、培养方式</w:t>
      </w:r>
    </w:p>
    <w:p>
      <w:pPr>
        <w:spacing w:before="50" w:line="360" w:lineRule="auto"/>
        <w:ind w:firstLine="420" w:firstLineChars="200"/>
        <w:textAlignment w:val="baseline"/>
        <w:rPr>
          <w:rFonts w:ascii="宋体" w:cs="宋体"/>
          <w:kern w:val="0"/>
          <w:szCs w:val="21"/>
        </w:rPr>
      </w:pPr>
      <w:r>
        <w:rPr>
          <w:rFonts w:hint="eastAsia" w:ascii="宋体" w:hAnsi="宋体" w:cs="仿宋_GB2312"/>
          <w:color w:val="000000"/>
          <w:kern w:val="0"/>
          <w:szCs w:val="21"/>
        </w:rPr>
        <w:t>实行双导师负责制。双导师制是指</w:t>
      </w:r>
      <w:r>
        <w:rPr>
          <w:rFonts w:ascii="宋体" w:hAnsi="宋体" w:cs="仿宋_GB2312"/>
          <w:color w:val="000000"/>
          <w:kern w:val="0"/>
          <w:szCs w:val="21"/>
        </w:rPr>
        <w:t>1</w:t>
      </w:r>
      <w:r>
        <w:rPr>
          <w:rFonts w:hint="eastAsia" w:ascii="宋体" w:hAnsi="宋体" w:cs="仿宋_GB2312"/>
          <w:color w:val="000000"/>
          <w:kern w:val="0"/>
          <w:szCs w:val="21"/>
        </w:rPr>
        <w:t>位校内学术导师，</w:t>
      </w:r>
      <w:r>
        <w:rPr>
          <w:rFonts w:ascii="宋体" w:hAnsi="宋体" w:cs="仿宋_GB2312"/>
          <w:color w:val="000000"/>
          <w:kern w:val="0"/>
          <w:szCs w:val="21"/>
        </w:rPr>
        <w:t>1</w:t>
      </w:r>
      <w:r>
        <w:rPr>
          <w:rFonts w:hint="eastAsia" w:ascii="宋体" w:hAnsi="宋体" w:cs="仿宋_GB2312"/>
          <w:color w:val="000000"/>
          <w:kern w:val="0"/>
          <w:szCs w:val="21"/>
        </w:rPr>
        <w:t>位校外社会实践部门的导师，</w:t>
      </w:r>
      <w:r>
        <w:rPr>
          <w:rFonts w:hint="eastAsia" w:ascii="宋体" w:hAnsi="宋体" w:cs="宋体"/>
          <w:kern w:val="0"/>
          <w:szCs w:val="21"/>
        </w:rPr>
        <w:t>以校内导师指导为主，校外导师应参与指导工作</w:t>
      </w:r>
      <w:r>
        <w:rPr>
          <w:rFonts w:hint="eastAsia" w:ascii="宋体" w:hAnsi="宋体" w:cs="仿宋_GB2312"/>
          <w:color w:val="000000"/>
          <w:kern w:val="0"/>
          <w:szCs w:val="21"/>
        </w:rPr>
        <w:t>。校内导师主要负责研究生的业务指导和思想政治教育，校外实践部门导师</w:t>
      </w:r>
      <w:r>
        <w:rPr>
          <w:rFonts w:hint="eastAsia" w:ascii="宋体" w:hAnsi="宋体" w:cs="宋体"/>
          <w:kern w:val="0"/>
          <w:szCs w:val="21"/>
        </w:rPr>
        <w:t>参与实践过程、项目研究、课程与论文等多个环节的指导工作。</w:t>
      </w:r>
    </w:p>
    <w:p>
      <w:pPr>
        <w:spacing w:beforeLines="50"/>
        <w:ind w:firstLine="422" w:firstLineChars="200"/>
        <w:rPr>
          <w:rFonts w:ascii="宋体" w:cs="宋体"/>
          <w:b/>
          <w:bCs/>
          <w:szCs w:val="21"/>
        </w:rPr>
      </w:pPr>
      <w:r>
        <w:rPr>
          <w:rFonts w:hint="eastAsia" w:ascii="宋体" w:hAnsi="宋体" w:cs="宋体"/>
          <w:b/>
          <w:bCs/>
          <w:szCs w:val="21"/>
        </w:rPr>
        <w:t>五、学制及学习年限</w:t>
      </w:r>
    </w:p>
    <w:p>
      <w:pPr>
        <w:spacing w:beforeLines="50" w:line="360" w:lineRule="auto"/>
        <w:ind w:firstLine="420" w:firstLineChars="200"/>
        <w:rPr>
          <w:rFonts w:ascii="宋体" w:cs="宋体"/>
          <w:kern w:val="0"/>
          <w:szCs w:val="21"/>
        </w:rPr>
      </w:pPr>
      <w:r>
        <w:rPr>
          <w:rFonts w:hint="eastAsia" w:ascii="宋体" w:hAnsi="宋体" w:cs="宋体"/>
          <w:kern w:val="0"/>
          <w:szCs w:val="21"/>
        </w:rPr>
        <w:t>全日制专业学位硕士研究生学制</w:t>
      </w:r>
      <w:r>
        <w:rPr>
          <w:rFonts w:ascii="宋体" w:hAnsi="宋体" w:cs="宋体"/>
          <w:kern w:val="0"/>
          <w:szCs w:val="21"/>
        </w:rPr>
        <w:t xml:space="preserve"> 2</w:t>
      </w:r>
      <w:r>
        <w:rPr>
          <w:rFonts w:hint="eastAsia" w:ascii="宋体" w:hAnsi="宋体" w:cs="宋体"/>
          <w:kern w:val="0"/>
          <w:szCs w:val="21"/>
          <w:lang w:val="en-US" w:eastAsia="zh-CN"/>
        </w:rPr>
        <w:t>-</w:t>
      </w:r>
      <w:r>
        <w:rPr>
          <w:rFonts w:ascii="宋体" w:hAnsi="宋体" w:cs="宋体"/>
          <w:kern w:val="0"/>
          <w:szCs w:val="21"/>
        </w:rPr>
        <w:t xml:space="preserve">3 </w:t>
      </w:r>
      <w:r>
        <w:rPr>
          <w:rFonts w:hint="eastAsia" w:ascii="宋体" w:hAnsi="宋体" w:cs="宋体"/>
          <w:kern w:val="0"/>
          <w:szCs w:val="21"/>
        </w:rPr>
        <w:t>年，非全日制学制</w:t>
      </w:r>
      <w:r>
        <w:rPr>
          <w:rFonts w:ascii="宋体" w:hAnsi="宋体" w:cs="宋体"/>
          <w:kern w:val="0"/>
          <w:szCs w:val="21"/>
        </w:rPr>
        <w:t>3</w:t>
      </w:r>
      <w:r>
        <w:rPr>
          <w:rFonts w:hint="eastAsia" w:ascii="宋体" w:hAnsi="宋体" w:cs="宋体"/>
          <w:kern w:val="0"/>
          <w:szCs w:val="21"/>
        </w:rPr>
        <w:t>年，最长学习年限不超过</w:t>
      </w:r>
      <w:r>
        <w:rPr>
          <w:rFonts w:ascii="宋体" w:hAnsi="宋体" w:cs="宋体"/>
          <w:kern w:val="0"/>
          <w:szCs w:val="21"/>
        </w:rPr>
        <w:t>5</w:t>
      </w:r>
      <w:r>
        <w:rPr>
          <w:rFonts w:hint="eastAsia" w:ascii="宋体" w:hAnsi="宋体" w:cs="宋体"/>
          <w:kern w:val="0"/>
          <w:szCs w:val="21"/>
        </w:rPr>
        <w:t>年（含休学）。全日制专业学位硕士研究生采取全日制脱产学习方式，非全日制专业学位硕士研究生采取非脱产学习方式。</w:t>
      </w:r>
    </w:p>
    <w:p>
      <w:pPr>
        <w:spacing w:beforeLines="50" w:afterLines="50"/>
        <w:ind w:firstLine="422" w:firstLineChars="200"/>
        <w:rPr>
          <w:rFonts w:ascii="宋体" w:cs="宋体"/>
          <w:b/>
          <w:bCs/>
          <w:szCs w:val="21"/>
        </w:rPr>
      </w:pPr>
      <w:r>
        <w:rPr>
          <w:rFonts w:hint="eastAsia" w:ascii="宋体" w:hAnsi="宋体" w:cs="宋体"/>
          <w:b/>
          <w:bCs/>
          <w:szCs w:val="21"/>
        </w:rPr>
        <w:t>六、学分要求及</w:t>
      </w:r>
      <w:r>
        <w:rPr>
          <w:rFonts w:hint="eastAsia" w:ascii="宋体" w:hAnsi="宋体" w:cs="宋体"/>
          <w:b/>
          <w:szCs w:val="21"/>
        </w:rPr>
        <w:t>课程设置</w:t>
      </w:r>
    </w:p>
    <w:p>
      <w:pPr>
        <w:spacing w:beforeLines="50" w:line="360" w:lineRule="auto"/>
        <w:ind w:firstLine="420" w:firstLineChars="200"/>
        <w:rPr>
          <w:rFonts w:ascii="宋体" w:hAnsi="宋体" w:cs="宋体"/>
          <w:kern w:val="0"/>
          <w:szCs w:val="21"/>
        </w:rPr>
      </w:pPr>
      <w:r>
        <w:rPr>
          <w:rFonts w:hint="eastAsia" w:ascii="宋体" w:hAnsi="宋体" w:cs="宋体"/>
          <w:kern w:val="0"/>
          <w:szCs w:val="21"/>
        </w:rPr>
        <w:t>专业学位硕士研究生毕业总学分不低于28学分，其中，学位课1</w:t>
      </w:r>
      <w:r>
        <w:rPr>
          <w:rFonts w:hint="eastAsia" w:ascii="宋体" w:hAnsi="宋体" w:cs="宋体"/>
          <w:kern w:val="0"/>
          <w:szCs w:val="21"/>
          <w:lang w:val="en-US" w:eastAsia="zh-CN"/>
        </w:rPr>
        <w:t>3</w:t>
      </w:r>
      <w:r>
        <w:rPr>
          <w:rFonts w:hint="eastAsia" w:ascii="宋体" w:hAnsi="宋体" w:cs="宋体"/>
          <w:kern w:val="0"/>
          <w:szCs w:val="21"/>
        </w:rPr>
        <w:t>-16学分，非学位课</w:t>
      </w:r>
      <w:r>
        <w:rPr>
          <w:rFonts w:hint="eastAsia" w:ascii="宋体" w:hAnsi="宋体" w:cs="宋体"/>
          <w:kern w:val="0"/>
          <w:szCs w:val="21"/>
          <w:lang w:val="en-US" w:eastAsia="zh-CN"/>
        </w:rPr>
        <w:t>6</w:t>
      </w:r>
      <w:r>
        <w:rPr>
          <w:rFonts w:hint="eastAsia" w:ascii="宋体" w:hAnsi="宋体" w:cs="宋体"/>
          <w:kern w:val="0"/>
          <w:szCs w:val="21"/>
        </w:rPr>
        <w:t>-10学分，实践环节</w:t>
      </w:r>
      <w:r>
        <w:rPr>
          <w:rFonts w:hint="eastAsia" w:ascii="宋体" w:hAnsi="宋体" w:cs="宋体"/>
          <w:kern w:val="0"/>
          <w:szCs w:val="21"/>
          <w:lang w:val="en-US" w:eastAsia="zh-CN"/>
        </w:rPr>
        <w:t>7</w:t>
      </w:r>
      <w:r>
        <w:rPr>
          <w:rFonts w:hint="eastAsia" w:ascii="宋体" w:hAnsi="宋体" w:cs="宋体"/>
          <w:kern w:val="0"/>
          <w:szCs w:val="21"/>
        </w:rPr>
        <w:t>学分。理论课学习安排在第1-1.5学期内完成，非全日制可根据实际情况适当延长理论课学习时间。课程成绩学位课70分以上（含70分）为及格，非学位60分以上（含60分）为及格，英语不得免修。成绩及格取得相应学分。跨学科或同等学力的研究生，必须补修2门本专业的大学本科专业主干课程，不计学分。课程设置见下表</w:t>
      </w:r>
    </w:p>
    <w:p>
      <w:pPr>
        <w:ind w:firstLine="576"/>
        <w:jc w:val="center"/>
        <w:rPr>
          <w:b/>
          <w:sz w:val="24"/>
        </w:rPr>
      </w:pPr>
      <w:r>
        <w:rPr>
          <w:rFonts w:hint="eastAsia"/>
          <w:b/>
          <w:sz w:val="24"/>
        </w:rPr>
        <w:t>课程设置</w:t>
      </w:r>
    </w:p>
    <w:tbl>
      <w:tblPr>
        <w:tblStyle w:val="7"/>
        <w:tblW w:w="8562" w:type="dxa"/>
        <w:jc w:val="center"/>
        <w:tblInd w:w="146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965"/>
        <w:gridCol w:w="1142"/>
        <w:gridCol w:w="1686"/>
        <w:gridCol w:w="814"/>
        <w:gridCol w:w="588"/>
        <w:gridCol w:w="489"/>
        <w:gridCol w:w="825"/>
        <w:gridCol w:w="1097"/>
        <w:gridCol w:w="95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jc w:val="center"/>
        </w:trPr>
        <w:tc>
          <w:tcPr>
            <w:tcW w:w="965" w:type="dxa"/>
            <w:tcBorders>
              <w:top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类别</w:t>
            </w:r>
          </w:p>
        </w:tc>
        <w:tc>
          <w:tcPr>
            <w:tcW w:w="114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FF0000"/>
                <w:kern w:val="0"/>
                <w:sz w:val="18"/>
                <w:szCs w:val="18"/>
              </w:rPr>
            </w:pPr>
            <w:r>
              <w:rPr>
                <w:rFonts w:hint="eastAsia" w:hAnsi="Verdana"/>
                <w:color w:val="FF0000"/>
                <w:kern w:val="0"/>
                <w:sz w:val="18"/>
                <w:szCs w:val="18"/>
              </w:rPr>
              <w:t>课程编号（新开课暂不填）</w:t>
            </w:r>
          </w:p>
        </w:tc>
        <w:tc>
          <w:tcPr>
            <w:tcW w:w="1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课程名称</w:t>
            </w:r>
          </w:p>
        </w:tc>
        <w:tc>
          <w:tcPr>
            <w:tcW w:w="81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学时</w:t>
            </w:r>
          </w:p>
        </w:tc>
        <w:tc>
          <w:tcPr>
            <w:tcW w:w="58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学分</w:t>
            </w:r>
          </w:p>
        </w:tc>
        <w:tc>
          <w:tcPr>
            <w:tcW w:w="48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开课</w:t>
            </w:r>
            <w:r>
              <w:rPr>
                <w:color w:val="000000"/>
                <w:kern w:val="0"/>
                <w:sz w:val="18"/>
                <w:szCs w:val="18"/>
              </w:rPr>
              <w:br w:type="textWrapping"/>
            </w:r>
            <w:r>
              <w:rPr>
                <w:rFonts w:hint="eastAsia" w:hAnsi="Verdana"/>
                <w:color w:val="000000"/>
                <w:kern w:val="0"/>
                <w:sz w:val="18"/>
                <w:szCs w:val="18"/>
              </w:rPr>
              <w:t>学期</w:t>
            </w:r>
          </w:p>
        </w:tc>
        <w:tc>
          <w:tcPr>
            <w:tcW w:w="82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考核</w:t>
            </w:r>
            <w:r>
              <w:rPr>
                <w:color w:val="000000"/>
                <w:kern w:val="0"/>
                <w:sz w:val="18"/>
                <w:szCs w:val="18"/>
              </w:rPr>
              <w:br w:type="textWrapping"/>
            </w:r>
            <w:r>
              <w:rPr>
                <w:rFonts w:hint="eastAsia" w:hAnsi="Verdana"/>
                <w:color w:val="000000"/>
                <w:kern w:val="0"/>
                <w:sz w:val="18"/>
                <w:szCs w:val="18"/>
              </w:rPr>
              <w:t>方式</w:t>
            </w: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拟任课</w:t>
            </w:r>
          </w:p>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教师</w:t>
            </w:r>
          </w:p>
        </w:tc>
        <w:tc>
          <w:tcPr>
            <w:tcW w:w="956" w:type="dxa"/>
            <w:tcBorders>
              <w:top w:val="single" w:color="000000" w:sz="6" w:space="0"/>
              <w:left w:val="single" w:color="000000" w:sz="6" w:space="0"/>
              <w:bottom w:val="single" w:color="000000" w:sz="6" w:space="0"/>
            </w:tcBorders>
            <w:tcMar>
              <w:top w:w="75" w:type="dxa"/>
              <w:left w:w="75" w:type="dxa"/>
              <w:bottom w:w="75" w:type="dxa"/>
              <w:right w:w="75" w:type="dxa"/>
            </w:tcMar>
            <w:vAlign w:val="center"/>
          </w:tcPr>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restart"/>
            <w:tcBorders>
              <w:top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公共学位课</w:t>
            </w:r>
          </w:p>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w:t>
            </w:r>
            <w:r>
              <w:rPr>
                <w:rFonts w:hint="eastAsia"/>
                <w:color w:val="000000"/>
                <w:kern w:val="0"/>
                <w:sz w:val="18"/>
                <w:szCs w:val="18"/>
              </w:rPr>
              <w:t>3</w:t>
            </w:r>
            <w:r>
              <w:rPr>
                <w:rFonts w:hint="eastAsia" w:hAnsi="Verdana"/>
                <w:color w:val="000000"/>
                <w:kern w:val="0"/>
                <w:sz w:val="18"/>
                <w:szCs w:val="18"/>
              </w:rPr>
              <w:t>学分）</w:t>
            </w: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21502</w:t>
            </w:r>
            <w:r>
              <w:rPr>
                <w:rFonts w:hint="eastAsia" w:ascii="宋体" w:hAnsi="宋体"/>
                <w:color w:val="000000"/>
                <w:kern w:val="0"/>
                <w:sz w:val="18"/>
                <w:szCs w:val="18"/>
              </w:rPr>
              <w:t>9</w:t>
            </w: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hint="eastAsia" w:ascii="宋体" w:hAnsi="宋体"/>
                <w:color w:val="000000"/>
                <w:kern w:val="0"/>
                <w:sz w:val="18"/>
                <w:szCs w:val="18"/>
              </w:rPr>
              <w:t>英语读写B</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hint="eastAsia" w:ascii="宋体" w:hAnsi="宋体"/>
                <w:color w:val="000000"/>
                <w:kern w:val="0"/>
                <w:sz w:val="18"/>
                <w:szCs w:val="18"/>
              </w:rPr>
              <w:t>32</w:t>
            </w: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hint="eastAsia" w:ascii="宋体" w:hAnsi="宋体"/>
                <w:color w:val="000000"/>
                <w:kern w:val="0"/>
                <w:sz w:val="18"/>
                <w:szCs w:val="18"/>
              </w:rPr>
              <w:t>1</w:t>
            </w: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汪晓明</w:t>
            </w:r>
          </w:p>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霍东英</w:t>
            </w: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205027</w:t>
            </w: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中国特色社会主义理论与实践研究</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32</w:t>
            </w: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w:t>
            </w: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考试</w:t>
            </w: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right="-105" w:rightChars="-50"/>
              <w:rPr>
                <w:rFonts w:ascii="宋体"/>
                <w:color w:val="000000"/>
                <w:kern w:val="0"/>
                <w:sz w:val="18"/>
                <w:szCs w:val="18"/>
              </w:rPr>
            </w:pPr>
            <w:r>
              <w:rPr>
                <w:rFonts w:ascii="宋体" w:hAnsi="宋体"/>
                <w:color w:val="000000"/>
                <w:kern w:val="0"/>
                <w:sz w:val="18"/>
                <w:szCs w:val="18"/>
              </w:rPr>
              <w:t xml:space="preserve">   </w:t>
            </w:r>
            <w:r>
              <w:rPr>
                <w:rFonts w:hint="eastAsia" w:ascii="宋体" w:hAnsi="宋体"/>
                <w:color w:val="000000"/>
                <w:kern w:val="0"/>
                <w:sz w:val="18"/>
                <w:szCs w:val="18"/>
              </w:rPr>
              <w:t>宋玉忠</w:t>
            </w:r>
          </w:p>
          <w:p>
            <w:pPr>
              <w:widowControl/>
              <w:snapToGrid w:val="0"/>
              <w:spacing w:line="296" w:lineRule="exact"/>
              <w:ind w:right="-105" w:rightChars="-50"/>
              <w:rPr>
                <w:rFonts w:ascii="宋体"/>
                <w:color w:val="000000"/>
                <w:kern w:val="0"/>
                <w:sz w:val="18"/>
                <w:szCs w:val="18"/>
              </w:rPr>
            </w:pPr>
            <w:r>
              <w:rPr>
                <w:rFonts w:ascii="宋体" w:hAnsi="宋体"/>
                <w:color w:val="000000"/>
                <w:kern w:val="0"/>
                <w:sz w:val="18"/>
                <w:szCs w:val="18"/>
              </w:rPr>
              <w:t xml:space="preserve">   </w:t>
            </w:r>
            <w:r>
              <w:rPr>
                <w:rFonts w:hint="eastAsia" w:ascii="宋体" w:hAnsi="宋体"/>
                <w:color w:val="000000"/>
                <w:kern w:val="0"/>
                <w:sz w:val="18"/>
                <w:szCs w:val="18"/>
              </w:rPr>
              <w:t>李思聪</w:t>
            </w: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eastAsia="宋体"/>
                <w:color w:val="000000"/>
                <w:kern w:val="0"/>
                <w:sz w:val="18"/>
                <w:szCs w:val="18"/>
                <w:lang w:eastAsia="zh-CN"/>
              </w:rPr>
            </w:pP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right w:val="single" w:color="000000" w:sz="6" w:space="0"/>
            </w:tcBorders>
            <w:vAlign w:val="center"/>
          </w:tcPr>
          <w:p>
            <w:pPr>
              <w:widowControl/>
              <w:snapToGrid w:val="0"/>
              <w:spacing w:line="296" w:lineRule="exact"/>
              <w:ind w:right="-105" w:rightChars="-50"/>
              <w:rPr>
                <w:rFonts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eastAsia="宋体"/>
                <w:color w:val="000000"/>
                <w:kern w:val="0"/>
                <w:sz w:val="18"/>
                <w:szCs w:val="18"/>
                <w:lang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restart"/>
            <w:tcBorders>
              <w:top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专业学位课</w:t>
            </w:r>
          </w:p>
          <w:p>
            <w:pPr>
              <w:widowControl/>
              <w:snapToGrid w:val="0"/>
              <w:spacing w:line="296" w:lineRule="exact"/>
              <w:ind w:left="-105" w:leftChars="-50" w:right="-105" w:rightChars="-50"/>
              <w:jc w:val="center"/>
              <w:rPr>
                <w:color w:val="000000"/>
                <w:kern w:val="0"/>
                <w:sz w:val="18"/>
                <w:szCs w:val="18"/>
              </w:rPr>
            </w:pPr>
            <w:r>
              <w:rPr>
                <w:rFonts w:hint="eastAsia" w:hAnsi="Verdana"/>
                <w:color w:val="000000"/>
                <w:kern w:val="0"/>
                <w:sz w:val="18"/>
                <w:szCs w:val="18"/>
              </w:rPr>
              <w:t>（</w:t>
            </w:r>
            <w:r>
              <w:rPr>
                <w:color w:val="000000"/>
                <w:kern w:val="0"/>
                <w:sz w:val="18"/>
                <w:szCs w:val="18"/>
              </w:rPr>
              <w:t>1</w:t>
            </w:r>
            <w:r>
              <w:rPr>
                <w:rFonts w:hint="eastAsia"/>
                <w:color w:val="000000"/>
                <w:kern w:val="0"/>
                <w:sz w:val="18"/>
                <w:szCs w:val="18"/>
                <w:lang w:val="en-US" w:eastAsia="zh-CN"/>
              </w:rPr>
              <w:t>0</w:t>
            </w:r>
            <w:r>
              <w:rPr>
                <w:rFonts w:hint="eastAsia"/>
                <w:color w:val="000000"/>
                <w:kern w:val="0"/>
                <w:sz w:val="18"/>
                <w:szCs w:val="18"/>
              </w:rPr>
              <w:t>-13</w:t>
            </w:r>
            <w:r>
              <w:rPr>
                <w:rFonts w:hint="eastAsia" w:hAnsi="Verdana"/>
                <w:color w:val="000000"/>
                <w:kern w:val="0"/>
                <w:sz w:val="18"/>
                <w:szCs w:val="18"/>
              </w:rPr>
              <w:t>学分）</w:t>
            </w: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textDirection w:val="lrTb"/>
            <w:vAlign w:val="center"/>
          </w:tcPr>
          <w:p>
            <w:pPr>
              <w:widowControl/>
              <w:snapToGrid w:val="0"/>
              <w:spacing w:line="296" w:lineRule="exact"/>
              <w:ind w:right="-105" w:rightChars="-50"/>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restart"/>
            <w:tcBorders>
              <w:top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选修课</w:t>
            </w:r>
          </w:p>
          <w:p>
            <w:pPr>
              <w:widowControl/>
              <w:snapToGrid w:val="0"/>
              <w:spacing w:line="296" w:lineRule="exact"/>
              <w:ind w:left="-105" w:leftChars="-50" w:right="-105" w:rightChars="-50"/>
              <w:jc w:val="center"/>
              <w:rPr>
                <w:rFonts w:hAnsi="Verdana"/>
                <w:kern w:val="0"/>
                <w:sz w:val="18"/>
                <w:szCs w:val="18"/>
              </w:rPr>
            </w:pPr>
            <w:r>
              <w:rPr>
                <w:rFonts w:hint="eastAsia" w:hAnsi="Verdana"/>
                <w:kern w:val="0"/>
                <w:sz w:val="18"/>
                <w:szCs w:val="18"/>
              </w:rPr>
              <w:t>（</w:t>
            </w:r>
            <w:r>
              <w:rPr>
                <w:rFonts w:hint="eastAsia" w:hAnsi="Verdana"/>
                <w:kern w:val="0"/>
                <w:sz w:val="18"/>
                <w:szCs w:val="18"/>
                <w:lang w:val="en-US" w:eastAsia="zh-CN"/>
              </w:rPr>
              <w:t>6</w:t>
            </w:r>
            <w:r>
              <w:rPr>
                <w:rFonts w:hint="eastAsia" w:hAnsi="Verdana"/>
                <w:kern w:val="0"/>
                <w:sz w:val="18"/>
                <w:szCs w:val="18"/>
              </w:rPr>
              <w:t>-</w:t>
            </w:r>
            <w:r>
              <w:rPr>
                <w:rFonts w:hint="eastAsia" w:hAnsi="Verdana"/>
                <w:kern w:val="0"/>
                <w:sz w:val="18"/>
                <w:szCs w:val="18"/>
                <w:lang w:val="en-US" w:eastAsia="zh-CN"/>
              </w:rPr>
              <w:t>8</w:t>
            </w:r>
            <w:r>
              <w:rPr>
                <w:rFonts w:hint="eastAsia" w:hAnsi="Verdana"/>
                <w:kern w:val="0"/>
                <w:sz w:val="18"/>
                <w:szCs w:val="18"/>
              </w:rPr>
              <w:t>学分）</w:t>
            </w: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r>
              <w:rPr>
                <w:rFonts w:ascii="宋体" w:cs="宋体"/>
                <w:color w:val="000000"/>
                <w:kern w:val="0"/>
                <w:sz w:val="18"/>
                <w:szCs w:val="18"/>
              </w:rPr>
              <w:t>....</w:t>
            </w: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restart"/>
            <w:tcBorders>
              <w:top w:val="single" w:color="auto" w:sz="4" w:space="0"/>
              <w:left w:val="single" w:color="auto" w:sz="4"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r>
              <w:rPr>
                <w:rFonts w:hint="eastAsia"/>
                <w:color w:val="000000"/>
                <w:kern w:val="0"/>
                <w:sz w:val="18"/>
                <w:szCs w:val="18"/>
              </w:rPr>
              <w:t>公共选修课</w:t>
            </w:r>
          </w:p>
          <w:p>
            <w:pPr>
              <w:widowControl/>
              <w:snapToGrid w:val="0"/>
              <w:spacing w:line="296" w:lineRule="exact"/>
              <w:ind w:left="-105" w:leftChars="-50" w:right="-105" w:rightChars="-50"/>
              <w:jc w:val="center"/>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lang w:val="en-US" w:eastAsia="zh-CN"/>
              </w:rPr>
              <w:t>-3</w:t>
            </w:r>
            <w:r>
              <w:rPr>
                <w:rFonts w:hint="eastAsia"/>
                <w:color w:val="000000"/>
                <w:kern w:val="0"/>
                <w:sz w:val="18"/>
                <w:szCs w:val="18"/>
              </w:rPr>
              <w:t>学分）</w:t>
            </w:r>
          </w:p>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snapToGrid w:val="0"/>
              <w:spacing w:line="296" w:lineRule="exact"/>
              <w:ind w:left="-105" w:leftChars="-50" w:right="-105" w:rightChars="-50"/>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研究生科学道德与学风建设专题</w:t>
            </w:r>
          </w:p>
        </w:tc>
        <w:tc>
          <w:tcPr>
            <w:tcW w:w="814"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16</w:t>
            </w:r>
          </w:p>
        </w:tc>
        <w:tc>
          <w:tcPr>
            <w:tcW w:w="588"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489"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825"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vAlign w:val="center"/>
          </w:tcPr>
          <w:p>
            <w:pPr>
              <w:snapToGrid w:val="0"/>
              <w:spacing w:line="296" w:lineRule="exact"/>
              <w:ind w:left="-105" w:leftChars="-50" w:right="-105" w:rightChars="-50"/>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考查</w:t>
            </w:r>
          </w:p>
        </w:tc>
        <w:tc>
          <w:tcPr>
            <w:tcW w:w="1097" w:type="dxa"/>
            <w:tcBorders>
              <w:top w:val="single" w:color="auto" w:sz="4" w:space="0"/>
              <w:left w:val="single" w:color="000000" w:sz="6" w:space="0"/>
              <w:bottom w:val="single" w:color="auto" w:sz="4" w:space="0"/>
              <w:right w:val="single" w:color="000000" w:sz="6" w:space="0"/>
            </w:tcBorders>
            <w:vAlign w:val="center"/>
          </w:tcPr>
          <w:p>
            <w:pPr>
              <w:widowControl/>
              <w:snapToGrid w:val="0"/>
              <w:spacing w:line="296" w:lineRule="exact"/>
              <w:ind w:left="-105" w:leftChars="-50" w:right="-105" w:rightChars="-50"/>
              <w:jc w:val="center"/>
              <w:rPr>
                <w:rFonts w:hint="eastAsia" w:ascii="宋体" w:eastAsia="宋体"/>
                <w:sz w:val="18"/>
                <w:szCs w:val="18"/>
                <w:lang w:eastAsia="zh-CN"/>
              </w:rPr>
            </w:pPr>
            <w:r>
              <w:rPr>
                <w:rFonts w:hint="eastAsia" w:ascii="宋体"/>
                <w:sz w:val="18"/>
                <w:szCs w:val="18"/>
                <w:lang w:eastAsia="zh-CN"/>
              </w:rPr>
              <w:t>陈汉能</w:t>
            </w:r>
          </w:p>
        </w:tc>
        <w:tc>
          <w:tcPr>
            <w:tcW w:w="956" w:type="dxa"/>
            <w:tcBorders>
              <w:top w:val="single" w:color="auto" w:sz="4" w:space="0"/>
              <w:left w:val="single" w:color="000000" w:sz="6" w:space="0"/>
              <w:bottom w:val="single" w:color="auto" w:sz="4" w:space="0"/>
              <w:right w:val="single" w:color="auto" w:sz="4"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eastAsia="宋体"/>
                <w:color w:val="000000"/>
                <w:kern w:val="0"/>
                <w:sz w:val="18"/>
                <w:szCs w:val="18"/>
                <w:lang w:eastAsia="zh-CN"/>
              </w:rPr>
            </w:pPr>
            <w:r>
              <w:rPr>
                <w:rFonts w:hint="eastAsia"/>
                <w:color w:val="000000"/>
                <w:kern w:val="0"/>
                <w:sz w:val="18"/>
                <w:szCs w:val="18"/>
                <w:lang w:eastAsia="zh-CN"/>
              </w:rPr>
              <w:t>必选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211015</w:t>
            </w:r>
          </w:p>
        </w:tc>
        <w:tc>
          <w:tcPr>
            <w:tcW w:w="1686"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textDirection w:val="lrTb"/>
            <w:vAlign w:val="center"/>
          </w:tcPr>
          <w:p>
            <w:pPr>
              <w:snapToGrid w:val="0"/>
              <w:spacing w:line="296" w:lineRule="exact"/>
              <w:ind w:left="-105" w:leftChars="-50" w:right="-105" w:rightChars="-50"/>
              <w:jc w:val="center"/>
              <w:rPr>
                <w:rFonts w:hint="eastAsia" w:ascii="宋体" w:hAnsi="宋体"/>
                <w:color w:val="000000"/>
                <w:kern w:val="0"/>
                <w:sz w:val="18"/>
                <w:szCs w:val="18"/>
              </w:rPr>
            </w:pPr>
            <w:r>
              <w:rPr>
                <w:rFonts w:hint="eastAsia" w:ascii="宋体" w:hAnsi="宋体"/>
                <w:color w:val="000000"/>
                <w:kern w:val="0"/>
                <w:sz w:val="18"/>
                <w:szCs w:val="18"/>
              </w:rPr>
              <w:t>科技文献检索</w:t>
            </w:r>
          </w:p>
        </w:tc>
        <w:tc>
          <w:tcPr>
            <w:tcW w:w="814"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textDirection w:val="lrTb"/>
            <w:vAlign w:val="center"/>
          </w:tcPr>
          <w:p>
            <w:pPr>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16</w:t>
            </w:r>
          </w:p>
        </w:tc>
        <w:tc>
          <w:tcPr>
            <w:tcW w:w="588"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textDirection w:val="lrTb"/>
            <w:vAlign w:val="center"/>
          </w:tcPr>
          <w:p>
            <w:pPr>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textDirection w:val="lrTb"/>
            <w:vAlign w:val="center"/>
          </w:tcPr>
          <w:p>
            <w:pPr>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color="auto" w:sz="4" w:space="0"/>
              <w:left w:val="single" w:color="000000" w:sz="6" w:space="0"/>
              <w:bottom w:val="single" w:color="auto" w:sz="4" w:space="0"/>
              <w:right w:val="single" w:color="000000" w:sz="6" w:space="0"/>
            </w:tcBorders>
            <w:tcMar>
              <w:top w:w="15" w:type="dxa"/>
              <w:left w:w="200" w:type="dxa"/>
              <w:bottom w:w="15" w:type="dxa"/>
              <w:right w:w="160" w:type="dxa"/>
            </w:tcMar>
            <w:textDirection w:val="lrTb"/>
            <w:vAlign w:val="center"/>
          </w:tcPr>
          <w:p>
            <w:pPr>
              <w:snapToGrid w:val="0"/>
              <w:spacing w:line="296" w:lineRule="exact"/>
              <w:ind w:left="-105" w:leftChars="-50" w:right="-105" w:rightChars="-50"/>
              <w:jc w:val="center"/>
              <w:rPr>
                <w:rFonts w:hint="eastAsia" w:ascii="宋体" w:hAnsi="宋体"/>
                <w:color w:val="000000"/>
                <w:kern w:val="0"/>
                <w:sz w:val="18"/>
                <w:szCs w:val="18"/>
              </w:rPr>
            </w:pPr>
            <w:r>
              <w:rPr>
                <w:rFonts w:hint="eastAsia" w:ascii="宋体" w:hAnsi="宋体"/>
                <w:color w:val="000000"/>
                <w:kern w:val="0"/>
                <w:sz w:val="18"/>
                <w:szCs w:val="18"/>
              </w:rPr>
              <w:t>考查</w:t>
            </w:r>
          </w:p>
        </w:tc>
        <w:tc>
          <w:tcPr>
            <w:tcW w:w="1097" w:type="dxa"/>
            <w:tcBorders>
              <w:top w:val="single" w:color="auto" w:sz="4" w:space="0"/>
              <w:left w:val="single" w:color="000000" w:sz="6" w:space="0"/>
              <w:bottom w:val="single" w:color="auto" w:sz="4" w:space="0"/>
              <w:right w:val="single" w:color="000000" w:sz="6" w:space="0"/>
            </w:tcBorders>
            <w:textDirection w:val="lrTb"/>
            <w:vAlign w:val="center"/>
          </w:tcPr>
          <w:p>
            <w:pPr>
              <w:widowControl/>
              <w:snapToGrid w:val="0"/>
              <w:spacing w:line="296" w:lineRule="exact"/>
              <w:ind w:left="-105" w:leftChars="-50" w:right="-105" w:rightChars="-50"/>
              <w:jc w:val="center"/>
              <w:rPr>
                <w:rFonts w:hint="eastAsia" w:ascii="宋体" w:hAnsi="宋体"/>
                <w:kern w:val="0"/>
                <w:sz w:val="18"/>
                <w:szCs w:val="18"/>
              </w:rPr>
            </w:pPr>
            <w:r>
              <w:rPr>
                <w:rFonts w:hint="eastAsia" w:ascii="宋体" w:hAnsi="宋体"/>
                <w:kern w:val="0"/>
                <w:sz w:val="18"/>
                <w:szCs w:val="18"/>
              </w:rPr>
              <w:t>樊怡菁</w:t>
            </w:r>
          </w:p>
        </w:tc>
        <w:tc>
          <w:tcPr>
            <w:tcW w:w="956" w:type="dxa"/>
            <w:tcBorders>
              <w:top w:val="single" w:color="auto" w:sz="4" w:space="0"/>
              <w:left w:val="single" w:color="000000" w:sz="6" w:space="0"/>
              <w:bottom w:val="single" w:color="auto" w:sz="4" w:space="0"/>
              <w:right w:val="single" w:color="auto" w:sz="4"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96" w:hRule="atLeast"/>
          <w:jc w:val="center"/>
        </w:trPr>
        <w:tc>
          <w:tcPr>
            <w:tcW w:w="965" w:type="dxa"/>
            <w:vMerge w:val="continue"/>
            <w:tcBorders>
              <w:left w:val="single" w:color="auto" w:sz="4"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219024</w:t>
            </w:r>
          </w:p>
        </w:tc>
        <w:tc>
          <w:tcPr>
            <w:tcW w:w="1686"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中文科技论文写作</w:t>
            </w:r>
          </w:p>
        </w:tc>
        <w:tc>
          <w:tcPr>
            <w:tcW w:w="814"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16</w:t>
            </w:r>
          </w:p>
        </w:tc>
        <w:tc>
          <w:tcPr>
            <w:tcW w:w="588"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color="auto" w:sz="4"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考查</w:t>
            </w:r>
          </w:p>
        </w:tc>
        <w:tc>
          <w:tcPr>
            <w:tcW w:w="1097" w:type="dxa"/>
            <w:tcBorders>
              <w:top w:val="single" w:color="auto" w:sz="4" w:space="0"/>
              <w:left w:val="single" w:color="000000" w:sz="6" w:space="0"/>
              <w:right w:val="single" w:color="000000" w:sz="6" w:space="0"/>
            </w:tcBorders>
            <w:textDirection w:val="lrTb"/>
            <w:vAlign w:val="center"/>
          </w:tcPr>
          <w:p>
            <w:pPr>
              <w:widowControl/>
              <w:snapToGrid w:val="0"/>
              <w:spacing w:line="296" w:lineRule="exact"/>
              <w:ind w:left="-105" w:leftChars="-50" w:right="-105" w:rightChars="-50"/>
              <w:jc w:val="center"/>
              <w:rPr>
                <w:rFonts w:ascii="宋体"/>
                <w:sz w:val="18"/>
                <w:szCs w:val="18"/>
              </w:rPr>
            </w:pPr>
            <w:r>
              <w:rPr>
                <w:rFonts w:hint="eastAsia" w:ascii="宋体" w:hAnsi="宋体"/>
                <w:color w:val="000000"/>
                <w:kern w:val="0"/>
                <w:sz w:val="18"/>
                <w:szCs w:val="18"/>
              </w:rPr>
              <w:t>孙力军</w:t>
            </w:r>
          </w:p>
        </w:tc>
        <w:tc>
          <w:tcPr>
            <w:tcW w:w="956" w:type="dxa"/>
            <w:tcBorders>
              <w:top w:val="single" w:color="auto" w:sz="4" w:space="0"/>
              <w:lef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201025</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英文科技论文写作</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16</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widowControl/>
              <w:snapToGrid w:val="0"/>
              <w:spacing w:line="296" w:lineRule="exact"/>
              <w:ind w:left="-105" w:leftChars="-50" w:right="-105" w:rightChars="-50"/>
              <w:jc w:val="center"/>
              <w:rPr>
                <w:rFonts w:ascii="宋体"/>
                <w:sz w:val="18"/>
                <w:szCs w:val="18"/>
              </w:rPr>
            </w:pPr>
            <w:r>
              <w:rPr>
                <w:rFonts w:hint="eastAsia" w:ascii="宋体" w:hAnsi="宋体"/>
                <w:kern w:val="0"/>
                <w:sz w:val="18"/>
                <w:szCs w:val="18"/>
              </w:rPr>
              <w:t>李广丽</w:t>
            </w:r>
          </w:p>
        </w:tc>
        <w:tc>
          <w:tcPr>
            <w:tcW w:w="956" w:type="dxa"/>
            <w:tcBorders>
              <w:top w:val="single" w:color="000000" w:sz="6" w:space="0"/>
              <w:left w:val="single" w:color="000000" w:sz="6" w:space="0"/>
            </w:tcBorders>
            <w:tcMar>
              <w:top w:w="15" w:type="dxa"/>
              <w:left w:w="200" w:type="dxa"/>
              <w:bottom w:w="15" w:type="dxa"/>
              <w:right w:w="160" w:type="dxa"/>
            </w:tcMar>
            <w:textDirection w:val="lrTb"/>
            <w:vAlign w:val="center"/>
          </w:tcPr>
          <w:p>
            <w:pPr>
              <w:keepNext w:val="0"/>
              <w:keepLines w:val="0"/>
              <w:widowControl/>
              <w:suppressLineNumbers w:val="0"/>
              <w:snapToGrid w:val="0"/>
              <w:spacing w:before="0" w:beforeAutospacing="0" w:after="0" w:afterAutospacing="0" w:line="296" w:lineRule="exact"/>
              <w:ind w:left="-105" w:leftChars="-50" w:right="-105" w:rightChars="-50"/>
              <w:jc w:val="center"/>
              <w:rPr>
                <w:rFonts w:hint="eastAsia" w:eastAsia="宋体"/>
                <w:color w:val="000000"/>
                <w:kern w:val="0"/>
                <w:sz w:val="18"/>
                <w:szCs w:val="18"/>
                <w:lang w:eastAsia="zh-CN"/>
              </w:rPr>
            </w:pPr>
            <w:r>
              <w:rPr>
                <w:rFonts w:hint="eastAsia"/>
                <w:color w:val="000000"/>
                <w:kern w:val="0"/>
                <w:sz w:val="18"/>
                <w:szCs w:val="18"/>
                <w:lang w:eastAsia="zh-CN"/>
              </w:rPr>
              <w:t>面向理工农专业</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57" w:hRule="atLeast"/>
          <w:jc w:val="center"/>
        </w:trPr>
        <w:tc>
          <w:tcPr>
            <w:tcW w:w="965" w:type="dxa"/>
            <w:vMerge w:val="continue"/>
            <w:tcBorders>
              <w:left w:val="single" w:color="auto" w:sz="4"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215026</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第二外语（日语）</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32</w:t>
            </w: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1</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textDirection w:val="lrTb"/>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textDirection w:val="lrTb"/>
            <w:vAlign w:val="center"/>
          </w:tcPr>
          <w:p>
            <w:pPr>
              <w:widowControl/>
              <w:snapToGrid w:val="0"/>
              <w:spacing w:line="296" w:lineRule="exact"/>
              <w:ind w:left="-105" w:leftChars="-50" w:right="-105" w:rightChars="-50"/>
              <w:jc w:val="center"/>
              <w:rPr>
                <w:rFonts w:ascii="宋体"/>
                <w:sz w:val="18"/>
                <w:szCs w:val="18"/>
              </w:rPr>
            </w:pPr>
            <w:r>
              <w:rPr>
                <w:rFonts w:hint="eastAsia" w:ascii="宋体" w:hAnsi="宋体"/>
                <w:sz w:val="18"/>
                <w:szCs w:val="18"/>
              </w:rPr>
              <w:t>李星</w:t>
            </w:r>
          </w:p>
        </w:tc>
        <w:tc>
          <w:tcPr>
            <w:tcW w:w="956" w:type="dxa"/>
            <w:tcBorders>
              <w:top w:val="single" w:color="000000" w:sz="6" w:space="0"/>
              <w:lef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jc w:val="center"/>
        </w:trPr>
        <w:tc>
          <w:tcPr>
            <w:tcW w:w="965" w:type="dxa"/>
            <w:vMerge w:val="restart"/>
            <w:tcBorders>
              <w:top w:val="single" w:color="auto" w:sz="4"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实践环节</w:t>
            </w:r>
          </w:p>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w:t>
            </w:r>
            <w:r>
              <w:rPr>
                <w:rFonts w:hint="eastAsia" w:hAnsi="Verdana"/>
                <w:color w:val="000000"/>
                <w:kern w:val="0"/>
                <w:sz w:val="18"/>
                <w:szCs w:val="18"/>
                <w:lang w:val="en-US" w:eastAsia="zh-CN"/>
              </w:rPr>
              <w:t>7</w:t>
            </w:r>
            <w:r>
              <w:rPr>
                <w:rFonts w:hint="eastAsia" w:hAnsi="Verdana"/>
                <w:color w:val="000000"/>
                <w:kern w:val="0"/>
                <w:sz w:val="18"/>
                <w:szCs w:val="18"/>
              </w:rPr>
              <w:t>学分）</w:t>
            </w: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204J01</w:t>
            </w: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专业实践</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hint="eastAsia" w:ascii="宋体" w:hAnsi="宋体"/>
                <w:color w:val="000000"/>
                <w:kern w:val="0"/>
                <w:sz w:val="18"/>
                <w:szCs w:val="18"/>
              </w:rPr>
              <w:t>6</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r>
              <w:rPr>
                <w:rFonts w:ascii="宋体" w:hAnsi="宋体"/>
                <w:color w:val="000000"/>
                <w:kern w:val="0"/>
                <w:sz w:val="18"/>
                <w:szCs w:val="18"/>
              </w:rPr>
              <w:t>3</w:t>
            </w:r>
            <w:r>
              <w:rPr>
                <w:rFonts w:hint="eastAsia" w:ascii="宋体" w:hAnsi="宋体"/>
                <w:color w:val="000000"/>
                <w:kern w:val="0"/>
                <w:sz w:val="18"/>
                <w:szCs w:val="18"/>
                <w:lang w:eastAsia="zh-CN"/>
              </w:rPr>
              <w:t>、</w:t>
            </w:r>
            <w:r>
              <w:rPr>
                <w:rFonts w:ascii="宋体" w:hAnsi="宋体"/>
                <w:color w:val="000000"/>
                <w:kern w:val="0"/>
                <w:sz w:val="18"/>
                <w:szCs w:val="18"/>
              </w:rPr>
              <w:t>5</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r>
              <w:rPr>
                <w:rFonts w:hint="eastAsia" w:ascii="宋体" w:hAnsi="宋体"/>
                <w:color w:val="000000"/>
                <w:kern w:val="0"/>
                <w:sz w:val="18"/>
                <w:szCs w:val="18"/>
              </w:rPr>
              <w:t>考查</w:t>
            </w:r>
          </w:p>
        </w:tc>
        <w:tc>
          <w:tcPr>
            <w:tcW w:w="1097" w:type="dxa"/>
            <w:tcBorders>
              <w:top w:val="single" w:color="000000" w:sz="6" w:space="0"/>
              <w:left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bookmarkStart w:id="1" w:name="_GoBack"/>
            <w:bookmarkEnd w:id="1"/>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nil"/>
              <w:bottom w:val="single" w:color="000000" w:sz="6" w:space="0"/>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eastAsia="宋体" w:cs="宋体"/>
                <w:color w:val="000000"/>
                <w:kern w:val="0"/>
                <w:sz w:val="18"/>
                <w:szCs w:val="18"/>
                <w:lang w:eastAsia="zh-CN"/>
              </w:rPr>
            </w:pPr>
            <w:r>
              <w:rPr>
                <w:rFonts w:hint="eastAsia" w:ascii="宋体" w:cs="宋体"/>
                <w:color w:val="000000"/>
                <w:kern w:val="0"/>
                <w:sz w:val="18"/>
                <w:szCs w:val="18"/>
                <w:lang w:eastAsia="zh-CN"/>
              </w:rPr>
              <w:t>研究生讨论班</w:t>
            </w: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w:t>
            </w: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hAnsi="宋体" w:eastAsia="宋体"/>
                <w:color w:val="000000"/>
                <w:kern w:val="0"/>
                <w:sz w:val="18"/>
                <w:szCs w:val="18"/>
                <w:lang w:val="en-US" w:eastAsia="zh-CN"/>
              </w:rPr>
            </w:pPr>
            <w:r>
              <w:rPr>
                <w:rFonts w:hint="eastAsia" w:ascii="宋体" w:hAnsi="宋体"/>
                <w:color w:val="000000"/>
                <w:kern w:val="0"/>
                <w:sz w:val="18"/>
                <w:szCs w:val="18"/>
                <w:lang w:val="en-US" w:eastAsia="zh-CN"/>
              </w:rPr>
              <w:t>1-5</w:t>
            </w: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int="eastAsia" w:ascii="宋体" w:eastAsia="宋体"/>
                <w:color w:val="000000"/>
                <w:kern w:val="0"/>
                <w:sz w:val="18"/>
                <w:szCs w:val="18"/>
                <w:lang w:eastAsia="zh-CN"/>
              </w:rPr>
            </w:pPr>
            <w:r>
              <w:rPr>
                <w:rFonts w:hint="eastAsia" w:ascii="宋体"/>
                <w:color w:val="000000"/>
                <w:kern w:val="0"/>
                <w:sz w:val="18"/>
                <w:szCs w:val="18"/>
                <w:lang w:eastAsia="zh-CN"/>
              </w:rPr>
              <w:t>考查</w:t>
            </w:r>
          </w:p>
        </w:tc>
        <w:tc>
          <w:tcPr>
            <w:tcW w:w="1097" w:type="dxa"/>
            <w:tcBorders>
              <w:top w:val="single" w:color="000000" w:sz="6" w:space="0"/>
              <w:left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widowControl/>
              <w:spacing w:line="375" w:lineRule="atLeast"/>
              <w:jc w:val="center"/>
              <w:rPr>
                <w:rFonts w:hint="eastAsia" w:eastAsia="宋体"/>
                <w:kern w:val="0"/>
                <w:sz w:val="18"/>
                <w:szCs w:val="18"/>
                <w:lang w:val="en-US" w:eastAsia="zh-CN"/>
              </w:rPr>
            </w:pPr>
            <w:r>
              <w:rPr>
                <w:rFonts w:hint="eastAsia"/>
                <w:kern w:val="0"/>
                <w:sz w:val="18"/>
                <w:szCs w:val="18"/>
                <w:lang w:val="en-US" w:eastAsia="zh-CN"/>
              </w:rPr>
              <w:t>3-5次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50" w:hRule="atLeast"/>
          <w:jc w:val="center"/>
        </w:trPr>
        <w:tc>
          <w:tcPr>
            <w:tcW w:w="965" w:type="dxa"/>
            <w:vMerge w:val="continue"/>
            <w:tcBorders>
              <w:top w:val="nil"/>
              <w:bottom w:val="single" w:color="000000" w:sz="6" w:space="0"/>
              <w:right w:val="single" w:color="000000" w:sz="6" w:space="0"/>
            </w:tcBorders>
            <w:vAlign w:val="center"/>
          </w:tcPr>
          <w:p>
            <w:pPr>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489"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825" w:type="dxa"/>
            <w:tcBorders>
              <w:top w:val="single" w:color="000000" w:sz="6" w:space="0"/>
              <w:left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tcBorders>
            <w:tcMar>
              <w:top w:w="15" w:type="dxa"/>
              <w:left w:w="200" w:type="dxa"/>
              <w:bottom w:w="15" w:type="dxa"/>
              <w:right w:w="160" w:type="dxa"/>
            </w:tcMar>
            <w:vAlign w:val="center"/>
          </w:tcPr>
          <w:p>
            <w:pPr>
              <w:widowControl/>
              <w:spacing w:line="375" w:lineRule="atLeast"/>
              <w:jc w:val="center"/>
              <w:rPr>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82" w:hRule="atLeast"/>
          <w:jc w:val="center"/>
        </w:trPr>
        <w:tc>
          <w:tcPr>
            <w:tcW w:w="965" w:type="dxa"/>
            <w:vMerge w:val="restart"/>
            <w:tcBorders>
              <w:top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hAnsi="Verdana"/>
                <w:color w:val="000000"/>
                <w:kern w:val="0"/>
                <w:sz w:val="18"/>
                <w:szCs w:val="18"/>
              </w:rPr>
            </w:pPr>
            <w:r>
              <w:rPr>
                <w:rFonts w:hint="eastAsia" w:hAnsi="Verdana"/>
                <w:color w:val="000000"/>
                <w:kern w:val="0"/>
                <w:sz w:val="18"/>
                <w:szCs w:val="18"/>
              </w:rPr>
              <w:t>补修课程</w:t>
            </w:r>
          </w:p>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148" w:hRule="atLeast"/>
          <w:jc w:val="center"/>
        </w:trPr>
        <w:tc>
          <w:tcPr>
            <w:tcW w:w="965" w:type="dxa"/>
            <w:vMerge w:val="continue"/>
            <w:tcBorders>
              <w:bottom w:val="single" w:color="000000" w:sz="6" w:space="0"/>
              <w:right w:val="single" w:color="000000" w:sz="6" w:space="0"/>
            </w:tcBorders>
            <w:vAlign w:val="center"/>
          </w:tcPr>
          <w:p>
            <w:pPr>
              <w:widowControl/>
              <w:snapToGrid w:val="0"/>
              <w:spacing w:line="296" w:lineRule="exact"/>
              <w:ind w:left="-105" w:leftChars="-50" w:right="-105" w:rightChars="-50"/>
              <w:jc w:val="center"/>
              <w:rPr>
                <w:color w:val="000000"/>
                <w:kern w:val="0"/>
                <w:sz w:val="18"/>
                <w:szCs w:val="18"/>
              </w:rPr>
            </w:pPr>
          </w:p>
        </w:tc>
        <w:tc>
          <w:tcPr>
            <w:tcW w:w="1142"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hAnsi="宋体"/>
                <w:color w:val="000000"/>
                <w:kern w:val="0"/>
                <w:sz w:val="18"/>
                <w:szCs w:val="18"/>
              </w:rPr>
            </w:pPr>
          </w:p>
        </w:tc>
        <w:tc>
          <w:tcPr>
            <w:tcW w:w="1686"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s="宋体"/>
                <w:color w:val="000000"/>
                <w:kern w:val="0"/>
                <w:sz w:val="18"/>
                <w:szCs w:val="18"/>
              </w:rPr>
            </w:pPr>
          </w:p>
        </w:tc>
        <w:tc>
          <w:tcPr>
            <w:tcW w:w="814"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588"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489"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825" w:type="dxa"/>
            <w:tcBorders>
              <w:top w:val="single" w:color="000000" w:sz="6" w:space="0"/>
              <w:left w:val="single" w:color="000000" w:sz="6" w:space="0"/>
              <w:bottom w:val="single" w:color="000000" w:sz="6" w:space="0"/>
              <w:right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rFonts w:ascii="宋体"/>
                <w:color w:val="000000"/>
                <w:kern w:val="0"/>
                <w:sz w:val="18"/>
                <w:szCs w:val="18"/>
              </w:rPr>
            </w:pPr>
          </w:p>
        </w:tc>
        <w:tc>
          <w:tcPr>
            <w:tcW w:w="1097" w:type="dxa"/>
            <w:tcBorders>
              <w:top w:val="single" w:color="000000" w:sz="6" w:space="0"/>
              <w:left w:val="single" w:color="000000" w:sz="6" w:space="0"/>
              <w:bottom w:val="single" w:color="000000" w:sz="6" w:space="0"/>
              <w:right w:val="single" w:color="000000" w:sz="6" w:space="0"/>
            </w:tcBorders>
            <w:vAlign w:val="center"/>
          </w:tcPr>
          <w:p>
            <w:pPr>
              <w:widowControl/>
              <w:snapToGrid w:val="0"/>
              <w:spacing w:line="296" w:lineRule="exact"/>
              <w:ind w:left="-105" w:leftChars="-50" w:right="-105" w:rightChars="-50"/>
              <w:jc w:val="center"/>
              <w:rPr>
                <w:rFonts w:ascii="宋体"/>
                <w:color w:val="000000"/>
                <w:kern w:val="0"/>
                <w:sz w:val="18"/>
                <w:szCs w:val="18"/>
              </w:rPr>
            </w:pPr>
          </w:p>
        </w:tc>
        <w:tc>
          <w:tcPr>
            <w:tcW w:w="956" w:type="dxa"/>
            <w:tcBorders>
              <w:top w:val="single" w:color="000000" w:sz="6" w:space="0"/>
              <w:left w:val="single" w:color="000000" w:sz="6" w:space="0"/>
              <w:bottom w:val="single" w:color="000000" w:sz="6" w:space="0"/>
            </w:tcBorders>
            <w:tcMar>
              <w:top w:w="15" w:type="dxa"/>
              <w:left w:w="200" w:type="dxa"/>
              <w:bottom w:w="15" w:type="dxa"/>
              <w:right w:w="160" w:type="dxa"/>
            </w:tcMar>
            <w:vAlign w:val="center"/>
          </w:tcPr>
          <w:p>
            <w:pPr>
              <w:widowControl/>
              <w:snapToGrid w:val="0"/>
              <w:spacing w:line="296" w:lineRule="exact"/>
              <w:ind w:left="-105" w:leftChars="-50" w:right="-105" w:rightChars="-50"/>
              <w:jc w:val="center"/>
              <w:rPr>
                <w:color w:val="000000"/>
                <w:kern w:val="0"/>
                <w:sz w:val="18"/>
                <w:szCs w:val="18"/>
              </w:rPr>
            </w:pPr>
          </w:p>
        </w:tc>
      </w:tr>
    </w:tbl>
    <w:p>
      <w:pPr>
        <w:rPr>
          <w:rFonts w:ascii="宋体" w:cs="宋体"/>
          <w:b/>
          <w:sz w:val="28"/>
          <w:szCs w:val="28"/>
        </w:rPr>
      </w:pPr>
    </w:p>
    <w:p>
      <w:pPr>
        <w:spacing w:beforeLines="50"/>
        <w:ind w:firstLine="422" w:firstLineChars="200"/>
        <w:rPr>
          <w:rFonts w:ascii="宋体" w:hAnsi="宋体" w:cs="宋体"/>
          <w:b/>
          <w:bCs/>
          <w:szCs w:val="21"/>
        </w:rPr>
      </w:pPr>
    </w:p>
    <w:p>
      <w:pPr>
        <w:spacing w:beforeLines="50"/>
        <w:ind w:firstLine="422" w:firstLineChars="200"/>
        <w:rPr>
          <w:rFonts w:ascii="宋体" w:cs="宋体"/>
          <w:b/>
          <w:bCs/>
          <w:szCs w:val="21"/>
        </w:rPr>
      </w:pPr>
      <w:r>
        <w:rPr>
          <w:rFonts w:hint="eastAsia" w:ascii="宋体" w:hAnsi="宋体" w:cs="宋体"/>
          <w:b/>
          <w:bCs/>
          <w:szCs w:val="21"/>
        </w:rPr>
        <w:t>七、培养环节</w:t>
      </w:r>
    </w:p>
    <w:p>
      <w:pPr>
        <w:spacing w:beforeLines="50" w:line="360" w:lineRule="auto"/>
        <w:ind w:firstLine="420" w:firstLineChars="200"/>
        <w:rPr>
          <w:rFonts w:ascii="宋体" w:cs="宋体"/>
          <w:kern w:val="0"/>
          <w:szCs w:val="21"/>
        </w:rPr>
      </w:pPr>
      <w:r>
        <w:rPr>
          <w:rFonts w:ascii="宋体" w:hAnsi="宋体" w:cs="宋体"/>
          <w:kern w:val="0"/>
          <w:szCs w:val="21"/>
        </w:rPr>
        <w:t>1</w:t>
      </w:r>
      <w:r>
        <w:rPr>
          <w:rFonts w:hint="eastAsia" w:ascii="宋体" w:hAnsi="宋体" w:cs="宋体"/>
          <w:kern w:val="0"/>
          <w:szCs w:val="21"/>
        </w:rPr>
        <w:t>、制定个人培养计划</w:t>
      </w:r>
      <w:r>
        <w:rPr>
          <w:rFonts w:hint="eastAsia" w:ascii="宋体" w:hAnsi="宋体" w:cs="宋体"/>
          <w:kern w:val="0"/>
          <w:szCs w:val="21"/>
          <w:lang w:val="en-US" w:eastAsia="zh-CN"/>
        </w:rPr>
        <w:t xml:space="preserve"> </w:t>
      </w:r>
    </w:p>
    <w:p>
      <w:pPr>
        <w:spacing w:beforeLines="50" w:line="360" w:lineRule="auto"/>
        <w:ind w:firstLine="420" w:firstLineChars="200"/>
        <w:rPr>
          <w:rFonts w:ascii="宋体" w:cs="宋体"/>
          <w:kern w:val="0"/>
          <w:szCs w:val="21"/>
        </w:rPr>
      </w:pPr>
      <w:r>
        <w:rPr>
          <w:rFonts w:hint="eastAsia" w:ascii="宋体" w:hAnsi="宋体" w:cs="宋体"/>
          <w:kern w:val="0"/>
          <w:szCs w:val="21"/>
        </w:rPr>
        <w:t>研究生入学后</w:t>
      </w:r>
      <w:r>
        <w:rPr>
          <w:rFonts w:ascii="宋体" w:hAnsi="宋体" w:cs="宋体"/>
          <w:kern w:val="0"/>
          <w:szCs w:val="21"/>
        </w:rPr>
        <w:t>1</w:t>
      </w:r>
      <w:r>
        <w:rPr>
          <w:rFonts w:hint="eastAsia" w:ascii="宋体" w:hAnsi="宋体" w:cs="宋体"/>
          <w:kern w:val="0"/>
          <w:szCs w:val="21"/>
        </w:rPr>
        <w:t>个月内在导师指导下制定个人培养计划，在</w:t>
      </w:r>
      <w:r>
        <w:rPr>
          <w:rFonts w:ascii="宋体" w:hAnsi="宋体" w:cs="宋体"/>
          <w:kern w:val="0"/>
          <w:szCs w:val="21"/>
        </w:rPr>
        <w:t>1-1.5</w:t>
      </w:r>
      <w:r>
        <w:rPr>
          <w:rFonts w:hint="eastAsia" w:ascii="宋体" w:hAnsi="宋体" w:cs="宋体"/>
          <w:kern w:val="0"/>
          <w:szCs w:val="21"/>
        </w:rPr>
        <w:t>学期内完成课程学习。</w:t>
      </w:r>
    </w:p>
    <w:p>
      <w:pPr>
        <w:pStyle w:val="11"/>
        <w:spacing w:beforeLines="50"/>
        <w:ind w:firstLine="420"/>
        <w:rPr>
          <w:rFonts w:ascii="宋体"/>
          <w:szCs w:val="21"/>
        </w:rPr>
      </w:pPr>
      <w:r>
        <w:rPr>
          <w:rFonts w:ascii="宋体" w:hAnsi="宋体" w:cs="宋体"/>
          <w:szCs w:val="21"/>
        </w:rPr>
        <w:t>2</w:t>
      </w:r>
      <w:r>
        <w:rPr>
          <w:rFonts w:hint="eastAsia" w:ascii="宋体" w:hAnsi="宋体" w:cs="宋体"/>
          <w:szCs w:val="21"/>
        </w:rPr>
        <w:t>、专业实践</w:t>
      </w:r>
    </w:p>
    <w:p>
      <w:pPr>
        <w:spacing w:before="50" w:line="360" w:lineRule="auto"/>
        <w:ind w:firstLine="420" w:firstLineChars="200"/>
        <w:rPr>
          <w:rFonts w:hint="eastAsia" w:ascii="宋体" w:hAnsi="宋体"/>
          <w:szCs w:val="21"/>
        </w:rPr>
      </w:pPr>
      <w:r>
        <w:rPr>
          <w:rFonts w:hint="eastAsia" w:ascii="宋体" w:hAnsi="宋体"/>
          <w:szCs w:val="21"/>
        </w:rPr>
        <w:t>专业学位硕士研究生在学期间，必须保证不少于半年的实践教学，可采用集中实践与分段实践相结合的方式。研究生要提交专业实践计划，毕业前一学期撰写实践总结报告，由导师和学院负责审核，考核合格者记</w:t>
      </w:r>
      <w:r>
        <w:rPr>
          <w:rFonts w:ascii="宋体" w:hAnsi="宋体"/>
          <w:szCs w:val="21"/>
        </w:rPr>
        <w:t>6</w:t>
      </w:r>
      <w:r>
        <w:rPr>
          <w:rFonts w:hint="eastAsia" w:ascii="宋体" w:hAnsi="宋体"/>
          <w:szCs w:val="21"/>
        </w:rPr>
        <w:t>学分。</w:t>
      </w:r>
    </w:p>
    <w:p>
      <w:pPr>
        <w:pStyle w:val="11"/>
        <w:ind w:firstLine="420"/>
        <w:rPr>
          <w:rFonts w:hint="eastAsia" w:ascii="宋体" w:hAnsi="宋体" w:cs="宋体"/>
          <w:szCs w:val="21"/>
        </w:rPr>
      </w:pPr>
      <w:r>
        <w:rPr>
          <w:rFonts w:hint="eastAsia" w:ascii="宋体" w:hAnsi="宋体" w:cs="宋体"/>
          <w:szCs w:val="21"/>
          <w:lang w:eastAsia="zh-CN"/>
        </w:rPr>
        <w:t>研究生讨论班：研究生在读期间应参加与学位论文研究有关的讨论班</w:t>
      </w:r>
      <w:r>
        <w:rPr>
          <w:rFonts w:hint="eastAsia" w:ascii="宋体" w:hAnsi="宋体" w:cs="宋体"/>
          <w:szCs w:val="21"/>
          <w:lang w:val="en-US" w:eastAsia="zh-CN"/>
        </w:rPr>
        <w:t>3-5次，并撰写总结报告，经导师、学院审核，合格者计1学分。</w:t>
      </w:r>
    </w:p>
    <w:p>
      <w:pPr>
        <w:spacing w:beforeLines="50" w:line="360" w:lineRule="auto"/>
        <w:ind w:firstLine="420" w:firstLineChars="200"/>
        <w:rPr>
          <w:rFonts w:ascii="宋体" w:cs="宋体"/>
          <w:kern w:val="0"/>
          <w:szCs w:val="21"/>
        </w:rPr>
      </w:pPr>
      <w:r>
        <w:rPr>
          <w:rFonts w:ascii="宋体" w:hAnsi="宋体" w:cs="宋体"/>
          <w:kern w:val="0"/>
          <w:szCs w:val="21"/>
        </w:rPr>
        <w:t>3</w:t>
      </w:r>
      <w:r>
        <w:rPr>
          <w:rFonts w:hint="eastAsia" w:ascii="宋体" w:hAnsi="宋体" w:cs="宋体"/>
          <w:kern w:val="0"/>
          <w:szCs w:val="21"/>
        </w:rPr>
        <w:t>、开题报告和中期考核</w:t>
      </w:r>
    </w:p>
    <w:p>
      <w:pPr>
        <w:pStyle w:val="11"/>
        <w:spacing w:beforeLines="50"/>
        <w:ind w:firstLine="420"/>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）选题和开题：专业学位硕士研究生</w:t>
      </w:r>
      <w:r>
        <w:rPr>
          <w:rFonts w:hint="eastAsia" w:ascii="宋体" w:hAnsi="宋体"/>
          <w:szCs w:val="21"/>
        </w:rPr>
        <w:t>学位论文选题应来源于应用课题或现实问题，必须要有明确的职业背景和应用价值。研究生</w:t>
      </w:r>
      <w:r>
        <w:rPr>
          <w:rFonts w:hint="eastAsia" w:ascii="宋体" w:hAnsi="宋体" w:cs="宋体"/>
          <w:szCs w:val="21"/>
        </w:rPr>
        <w:t>入学后在导师的指导下确定研究方向，通过查阅文献、收集资料和调查研究确定研究课题，在第</w:t>
      </w:r>
      <w:r>
        <w:rPr>
          <w:rFonts w:ascii="宋体" w:hAnsi="宋体" w:cs="宋体"/>
          <w:szCs w:val="21"/>
        </w:rPr>
        <w:t>3</w:t>
      </w:r>
      <w:r>
        <w:rPr>
          <w:rFonts w:hint="eastAsia" w:ascii="宋体" w:hAnsi="宋体" w:cs="宋体"/>
          <w:szCs w:val="21"/>
        </w:rPr>
        <w:t>学期完成开题。具体要求</w:t>
      </w:r>
      <w:r>
        <w:rPr>
          <w:rFonts w:hint="eastAsia" w:ascii="宋体" w:hAnsi="宋体" w:cs="宋体"/>
          <w:szCs w:val="21"/>
          <w:lang w:eastAsia="zh-CN"/>
        </w:rPr>
        <w:t>参</w:t>
      </w:r>
      <w:r>
        <w:rPr>
          <w:rFonts w:hint="eastAsia" w:ascii="宋体" w:hAnsi="宋体" w:cs="宋体"/>
          <w:szCs w:val="21"/>
        </w:rPr>
        <w:t>照《广东海洋大学研究生</w:t>
      </w:r>
      <w:r>
        <w:rPr>
          <w:rFonts w:hint="eastAsia" w:ascii="宋体" w:hAnsi="宋体" w:cs="宋体"/>
          <w:szCs w:val="21"/>
          <w:lang w:eastAsia="zh-CN"/>
        </w:rPr>
        <w:t>学位论文</w:t>
      </w:r>
      <w:r>
        <w:rPr>
          <w:rFonts w:hint="eastAsia" w:ascii="宋体" w:hAnsi="宋体" w:cs="宋体"/>
          <w:szCs w:val="21"/>
        </w:rPr>
        <w:t>开题报告规定》。</w:t>
      </w:r>
    </w:p>
    <w:p>
      <w:pPr>
        <w:pStyle w:val="11"/>
        <w:spacing w:beforeLines="50"/>
        <w:ind w:firstLine="42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）中期考核：中期考核主要是对学生政治思想、课程成绩、科研能力等方面进行综合考核，在第</w:t>
      </w:r>
      <w:r>
        <w:rPr>
          <w:rFonts w:ascii="宋体" w:hAnsi="宋体" w:cs="宋体"/>
          <w:szCs w:val="21"/>
        </w:rPr>
        <w:t>3</w:t>
      </w:r>
      <w:r>
        <w:rPr>
          <w:rFonts w:hint="eastAsia" w:ascii="宋体" w:hAnsi="宋体" w:cs="宋体"/>
          <w:szCs w:val="21"/>
        </w:rPr>
        <w:t>学期完成，按照《广东海洋大学研究生中期考核办法》进行，中期考核与开题报告同期进行。</w:t>
      </w:r>
    </w:p>
    <w:p>
      <w:pPr>
        <w:pStyle w:val="11"/>
        <w:spacing w:beforeLines="50"/>
        <w:ind w:firstLine="420"/>
        <w:rPr>
          <w:rFonts w:ascii="宋体" w:cs="宋体"/>
          <w:szCs w:val="21"/>
        </w:rPr>
      </w:pPr>
      <w:r>
        <w:rPr>
          <w:rFonts w:ascii="宋体" w:hAnsi="宋体" w:cs="宋体"/>
          <w:szCs w:val="21"/>
        </w:rPr>
        <w:t>4</w:t>
      </w:r>
      <w:r>
        <w:rPr>
          <w:rFonts w:hint="eastAsia" w:ascii="宋体" w:hAnsi="宋体" w:cs="宋体"/>
          <w:szCs w:val="21"/>
        </w:rPr>
        <w:t>、学位论文研究中期检查</w:t>
      </w:r>
    </w:p>
    <w:p>
      <w:pPr>
        <w:spacing w:beforeLines="50" w:line="360" w:lineRule="auto"/>
        <w:ind w:firstLine="420" w:firstLineChars="200"/>
        <w:rPr>
          <w:rFonts w:ascii="宋体"/>
          <w:szCs w:val="21"/>
        </w:rPr>
      </w:pPr>
      <w:r>
        <w:rPr>
          <w:rFonts w:hint="eastAsia" w:ascii="宋体" w:hAnsi="宋体" w:cs="宋体"/>
          <w:szCs w:val="21"/>
        </w:rPr>
        <w:t>硕士研究生学位论文中期检查是保证研究生学位论文质量的重要措施，</w:t>
      </w:r>
      <w:r>
        <w:rPr>
          <w:rFonts w:hint="eastAsia" w:ascii="宋体" w:hAnsi="宋体"/>
          <w:szCs w:val="21"/>
        </w:rPr>
        <w:t>在学位论文工作的中期，培养学院组织考核小组，对研究生的综合能力、论文工作进展情况以及工作态度和精力投入等进行全面考查。通过者，准予继续进行论文工作。中期检查具体时间由培养学院自行确定。</w:t>
      </w:r>
    </w:p>
    <w:p>
      <w:pPr>
        <w:pStyle w:val="11"/>
        <w:spacing w:beforeLines="50" w:line="240" w:lineRule="auto"/>
        <w:ind w:firstLine="360" w:firstLineChars="171"/>
        <w:rPr>
          <w:rFonts w:ascii="宋体" w:cs="宋体"/>
          <w:b/>
          <w:szCs w:val="21"/>
        </w:rPr>
      </w:pPr>
      <w:r>
        <w:rPr>
          <w:rFonts w:hint="eastAsia" w:ascii="宋体" w:hAnsi="宋体"/>
          <w:b/>
          <w:kern w:val="2"/>
          <w:szCs w:val="21"/>
        </w:rPr>
        <w:t>八、学位论文</w:t>
      </w:r>
    </w:p>
    <w:p>
      <w:pPr>
        <w:spacing w:before="50" w:line="360" w:lineRule="auto"/>
        <w:ind w:firstLine="420" w:firstLineChars="200"/>
        <w:rPr>
          <w:rFonts w:ascii="宋体"/>
          <w:bCs/>
          <w:spacing w:val="1"/>
          <w:szCs w:val="21"/>
        </w:rPr>
      </w:pPr>
      <w:r>
        <w:rPr>
          <w:rFonts w:hint="eastAsia" w:ascii="宋体" w:hAnsi="宋体"/>
          <w:szCs w:val="21"/>
        </w:rPr>
        <w:t>学位论文形式可以多种多样，可采用调研报告、应用基础研究、规划设计、产品开发、案例分析等形式。学位论文须</w:t>
      </w:r>
      <w:r>
        <w:rPr>
          <w:rFonts w:hint="eastAsia" w:ascii="宋体" w:hAnsi="宋体"/>
          <w:szCs w:val="21"/>
          <w:lang w:eastAsia="zh-CN"/>
        </w:rPr>
        <w:t>由研究生</w:t>
      </w:r>
      <w:r>
        <w:rPr>
          <w:rFonts w:hint="eastAsia" w:ascii="宋体" w:hAnsi="宋体"/>
          <w:szCs w:val="21"/>
        </w:rPr>
        <w:t>独立完成。学位论文可以在校内或相关企业完成，具体由导师和学生自主确定。</w:t>
      </w:r>
      <w:r>
        <w:rPr>
          <w:rFonts w:hint="eastAsia" w:ascii="宋体" w:hAnsi="宋体"/>
          <w:bCs/>
          <w:spacing w:val="1"/>
          <w:szCs w:val="21"/>
        </w:rPr>
        <w:t>学位论文字数一般不少于</w:t>
      </w:r>
      <w:r>
        <w:rPr>
          <w:rFonts w:ascii="宋体" w:hAnsi="宋体"/>
          <w:bCs/>
          <w:spacing w:val="1"/>
          <w:szCs w:val="21"/>
        </w:rPr>
        <w:t>2</w:t>
      </w:r>
      <w:r>
        <w:rPr>
          <w:rFonts w:hint="eastAsia" w:ascii="宋体" w:hAnsi="宋体"/>
          <w:bCs/>
          <w:spacing w:val="1"/>
          <w:szCs w:val="21"/>
          <w:lang w:eastAsia="zh-CN"/>
        </w:rPr>
        <w:t>（或</w:t>
      </w:r>
      <w:r>
        <w:rPr>
          <w:rFonts w:hint="eastAsia" w:ascii="宋体" w:hAnsi="宋体"/>
          <w:bCs/>
          <w:spacing w:val="1"/>
          <w:szCs w:val="21"/>
          <w:lang w:val="en-US" w:eastAsia="zh-CN"/>
        </w:rPr>
        <w:t>3</w:t>
      </w:r>
      <w:r>
        <w:rPr>
          <w:rFonts w:hint="eastAsia" w:ascii="宋体" w:hAnsi="宋体"/>
          <w:bCs/>
          <w:spacing w:val="1"/>
          <w:szCs w:val="21"/>
          <w:lang w:eastAsia="zh-CN"/>
        </w:rPr>
        <w:t>）</w:t>
      </w:r>
      <w:r>
        <w:rPr>
          <w:rFonts w:hint="eastAsia" w:ascii="宋体" w:hAnsi="宋体"/>
          <w:bCs/>
          <w:spacing w:val="1"/>
          <w:szCs w:val="21"/>
        </w:rPr>
        <w:t>万字。学位论文评阅和答辩要求参照</w:t>
      </w:r>
      <w:r>
        <w:rPr>
          <w:rFonts w:hint="eastAsia" w:ascii="宋体" w:hAnsi="宋体" w:cs="宋体"/>
          <w:szCs w:val="21"/>
        </w:rPr>
        <w:t>《广东海洋大学博士、硕士学位授予工作细则》</w:t>
      </w:r>
      <w:r>
        <w:rPr>
          <w:rFonts w:hint="eastAsia" w:ascii="宋体" w:hAnsi="宋体"/>
          <w:bCs/>
          <w:spacing w:val="1"/>
          <w:szCs w:val="21"/>
        </w:rPr>
        <w:t>。</w:t>
      </w:r>
    </w:p>
    <w:p>
      <w:pPr>
        <w:spacing w:beforeLines="50"/>
        <w:ind w:firstLine="422" w:firstLineChars="200"/>
        <w:rPr>
          <w:rFonts w:ascii="宋体" w:cs="宋体"/>
          <w:b/>
          <w:bCs/>
          <w:szCs w:val="21"/>
        </w:rPr>
      </w:pPr>
      <w:r>
        <w:rPr>
          <w:rFonts w:hint="eastAsia" w:ascii="宋体" w:hAnsi="宋体" w:cs="宋体"/>
          <w:b/>
          <w:bCs/>
          <w:szCs w:val="21"/>
        </w:rPr>
        <w:t>九、毕业及授位</w:t>
      </w:r>
      <w:r>
        <w:rPr>
          <w:rFonts w:ascii="宋体" w:cs="宋体"/>
          <w:b/>
          <w:bCs/>
          <w:szCs w:val="21"/>
        </w:rPr>
        <w:t> </w:t>
      </w:r>
    </w:p>
    <w:p>
      <w:pPr>
        <w:spacing w:beforeLines="50" w:line="360" w:lineRule="auto"/>
        <w:ind w:firstLine="420" w:firstLineChars="200"/>
        <w:rPr>
          <w:rFonts w:ascii="宋体" w:cs="宋体"/>
          <w:szCs w:val="21"/>
        </w:rPr>
      </w:pPr>
      <w:r>
        <w:rPr>
          <w:rFonts w:hint="eastAsia" w:ascii="宋体" w:hAnsi="宋体"/>
          <w:bCs/>
          <w:szCs w:val="21"/>
        </w:rPr>
        <w:t>专业学位硕士研究生</w:t>
      </w:r>
      <w:r>
        <w:rPr>
          <w:rFonts w:hint="eastAsia" w:ascii="宋体" w:hAnsi="宋体"/>
          <w:szCs w:val="21"/>
        </w:rPr>
        <w:t>在学期间不作发表学术论文要求，</w:t>
      </w:r>
      <w:r>
        <w:rPr>
          <w:rFonts w:hint="eastAsia" w:ascii="宋体" w:hAnsi="宋体" w:cs="宋体"/>
          <w:szCs w:val="21"/>
        </w:rPr>
        <w:t>研究生修满培养方案规定学分，通过论文答辩者，则准予毕业，并发给毕业证书；符合学位申请条件者，根据《广东海洋大学博士、硕士学位授予工作细则》，授予硕士学位。</w:t>
      </w:r>
    </w:p>
    <w:p>
      <w:pPr>
        <w:pStyle w:val="11"/>
        <w:ind w:right="-506" w:rightChars="-241" w:firstLine="422"/>
        <w:rPr>
          <w:rFonts w:ascii="宋体" w:cs="宋体"/>
          <w:b/>
          <w:kern w:val="2"/>
          <w:szCs w:val="21"/>
        </w:rPr>
      </w:pPr>
      <w:r>
        <w:rPr>
          <w:rFonts w:hint="eastAsia" w:ascii="宋体" w:hAnsi="宋体" w:cs="宋体"/>
          <w:b/>
          <w:kern w:val="2"/>
          <w:szCs w:val="21"/>
        </w:rPr>
        <w:t>十、参考书目：</w:t>
      </w:r>
    </w:p>
    <w:p>
      <w:pPr>
        <w:spacing w:line="360" w:lineRule="auto"/>
        <w:rPr>
          <w:rFonts w:ascii="宋体" w:cs="宋体"/>
          <w:szCs w:val="21"/>
        </w:rPr>
      </w:pPr>
      <w:r>
        <w:rPr>
          <w:rFonts w:ascii="宋体" w:hAnsi="宋体" w:cs="宋体"/>
          <w:szCs w:val="21"/>
        </w:rPr>
        <w:t xml:space="preserve">1. </w:t>
      </w:r>
      <w:r>
        <w:rPr>
          <w:rFonts w:hint="eastAsia" w:ascii="宋体" w:hAnsi="宋体" w:cs="宋体"/>
          <w:szCs w:val="21"/>
        </w:rPr>
        <w:t>李德发</w:t>
      </w:r>
      <w:r>
        <w:rPr>
          <w:rFonts w:ascii="宋体" w:cs="宋体"/>
          <w:szCs w:val="21"/>
        </w:rPr>
        <w:t>.</w:t>
      </w:r>
      <w:r>
        <w:rPr>
          <w:rFonts w:hint="eastAsia" w:ascii="宋体" w:hAnsi="宋体" w:cs="宋体"/>
          <w:szCs w:val="21"/>
        </w:rPr>
        <w:t>猪的营养（第</w:t>
      </w:r>
      <w:r>
        <w:rPr>
          <w:rFonts w:ascii="宋体" w:hAnsi="宋体" w:cs="宋体"/>
          <w:szCs w:val="21"/>
        </w:rPr>
        <w:t>2</w:t>
      </w:r>
      <w:r>
        <w:rPr>
          <w:rFonts w:hint="eastAsia" w:ascii="宋体" w:hAnsi="宋体" w:cs="宋体"/>
          <w:szCs w:val="21"/>
        </w:rPr>
        <w:t>版），中国农业科学出版社</w:t>
      </w:r>
      <w:r>
        <w:rPr>
          <w:rFonts w:ascii="宋体" w:hAnsi="宋体" w:cs="宋体"/>
          <w:szCs w:val="21"/>
        </w:rPr>
        <w:t>,2003</w:t>
      </w:r>
    </w:p>
    <w:p>
      <w:pPr>
        <w:spacing w:line="360" w:lineRule="auto"/>
        <w:rPr>
          <w:rFonts w:ascii="宋体" w:cs="宋体"/>
          <w:szCs w:val="21"/>
        </w:rPr>
      </w:pPr>
      <w:r>
        <w:rPr>
          <w:rFonts w:ascii="宋体" w:hAnsi="宋体" w:cs="宋体"/>
          <w:szCs w:val="21"/>
        </w:rPr>
        <w:t>2. Lewis, Austin J.</w:t>
      </w:r>
      <w:r>
        <w:rPr>
          <w:rFonts w:hint="eastAsia" w:ascii="宋体" w:hAnsi="宋体" w:cs="宋体"/>
          <w:szCs w:val="21"/>
        </w:rPr>
        <w:t>、</w:t>
      </w:r>
      <w:r>
        <w:fldChar w:fldCharType="begin"/>
      </w:r>
      <w:r>
        <w:instrText xml:space="preserve"> HYPERLINK "http://www.amazon.cn/Swine-Nutrition-Lewis-Austin-J/dp/0849306965/ref=sr_1_7?ie=UTF8&amp;qid=1372206155&amp;sr=8-7&amp;keywords=pig+nutrition" \t "_blank" </w:instrText>
      </w:r>
      <w:r>
        <w:fldChar w:fldCharType="separate"/>
      </w:r>
      <w:r>
        <w:rPr>
          <w:rStyle w:val="6"/>
          <w:rFonts w:ascii="宋体" w:hAnsi="宋体" w:cs="宋体"/>
          <w:color w:val="auto"/>
          <w:szCs w:val="21"/>
        </w:rPr>
        <w:t>Swine Nutrition</w:t>
      </w:r>
      <w:r>
        <w:rPr>
          <w:rStyle w:val="6"/>
          <w:rFonts w:ascii="宋体" w:hAnsi="宋体" w:cs="宋体"/>
          <w:color w:val="auto"/>
          <w:szCs w:val="21"/>
        </w:rPr>
        <w:fldChar w:fldCharType="end"/>
      </w:r>
      <w:r>
        <w:rPr>
          <w:rFonts w:ascii="宋体" w:hAnsi="宋体" w:cs="宋体"/>
          <w:szCs w:val="21"/>
        </w:rPr>
        <w:t xml:space="preserve"> . Lincoln Lee CRC Press Inc (2000-12</w:t>
      </w:r>
      <w:r>
        <w:rPr>
          <w:rFonts w:hint="eastAsia" w:ascii="宋体" w:hAnsi="宋体" w:cs="宋体"/>
          <w:szCs w:val="21"/>
        </w:rPr>
        <w:t>出版</w:t>
      </w:r>
      <w:r>
        <w:rPr>
          <w:rFonts w:ascii="宋体" w:hAnsi="宋体" w:cs="宋体"/>
          <w:szCs w:val="21"/>
        </w:rPr>
        <w:t xml:space="preserve">) </w:t>
      </w:r>
    </w:p>
    <w:p>
      <w:pPr>
        <w:spacing w:line="360" w:lineRule="auto"/>
        <w:ind w:firstLine="420" w:firstLineChars="200"/>
        <w:rPr>
          <w:rFonts w:ascii="宋体"/>
          <w:szCs w:val="21"/>
        </w:rPr>
      </w:pPr>
      <w:r>
        <w:rPr>
          <w:rFonts w:ascii="Arial" w:hAnsi="Arial" w:cs="Arial"/>
          <w:szCs w:val="21"/>
        </w:rPr>
        <w:t>……</w:t>
      </w:r>
    </w:p>
    <w:p>
      <w:pPr>
        <w:spacing w:line="360" w:lineRule="auto"/>
        <w:ind w:firstLine="422" w:firstLineChars="200"/>
        <w:rPr>
          <w:rFonts w:ascii="宋体"/>
          <w:szCs w:val="21"/>
        </w:rPr>
      </w:pPr>
      <w:r>
        <w:rPr>
          <w:rFonts w:hint="eastAsia" w:ascii="宋体" w:hAnsi="宋体" w:cs="宋体"/>
          <w:b/>
          <w:szCs w:val="21"/>
        </w:rPr>
        <w:t>十一、其他</w:t>
      </w:r>
    </w:p>
    <w:p>
      <w:pPr>
        <w:pStyle w:val="11"/>
        <w:ind w:firstLine="420"/>
        <w:rPr>
          <w:rFonts w:ascii="宋体" w:cs="宋体"/>
          <w:szCs w:val="21"/>
        </w:rPr>
      </w:pPr>
      <w:r>
        <w:rPr>
          <w:rFonts w:ascii="宋体" w:hAnsi="宋体" w:cs="宋体"/>
          <w:szCs w:val="21"/>
        </w:rPr>
        <w:t>1</w:t>
      </w:r>
      <w:r>
        <w:rPr>
          <w:rFonts w:hint="eastAsia" w:ascii="宋体" w:hAnsi="宋体" w:cs="宋体"/>
          <w:szCs w:val="21"/>
        </w:rPr>
        <w:t>、本方案适用于本专业全日制</w:t>
      </w:r>
      <w:r>
        <w:rPr>
          <w:rFonts w:hint="eastAsia" w:ascii="宋体" w:hAnsi="宋体" w:cs="宋体"/>
          <w:szCs w:val="21"/>
          <w:lang w:eastAsia="zh-CN"/>
        </w:rPr>
        <w:t>（或</w:t>
      </w:r>
      <w:r>
        <w:rPr>
          <w:rFonts w:hint="eastAsia" w:ascii="宋体" w:hAnsi="宋体" w:cs="宋体"/>
          <w:szCs w:val="21"/>
        </w:rPr>
        <w:t>非全日制</w:t>
      </w:r>
      <w:r>
        <w:rPr>
          <w:rFonts w:hint="eastAsia" w:ascii="宋体" w:hAnsi="宋体" w:cs="宋体"/>
          <w:szCs w:val="21"/>
          <w:lang w:eastAsia="zh-CN"/>
        </w:rPr>
        <w:t>）</w:t>
      </w:r>
      <w:r>
        <w:rPr>
          <w:rFonts w:hint="eastAsia" w:ascii="宋体" w:hAnsi="宋体" w:cs="宋体"/>
          <w:szCs w:val="21"/>
        </w:rPr>
        <w:t>专业学位硕士研究生。</w:t>
      </w:r>
    </w:p>
    <w:p>
      <w:pPr>
        <w:pStyle w:val="11"/>
        <w:ind w:firstLine="420"/>
        <w:rPr>
          <w:rFonts w:ascii="宋体" w:cs="宋体"/>
          <w:szCs w:val="21"/>
        </w:rPr>
      </w:pPr>
      <w:r>
        <w:rPr>
          <w:rFonts w:ascii="宋体" w:hAnsi="宋体" w:cs="宋体"/>
          <w:szCs w:val="21"/>
        </w:rPr>
        <w:t>2</w:t>
      </w:r>
      <w:r>
        <w:rPr>
          <w:rFonts w:hint="eastAsia" w:ascii="宋体" w:hAnsi="宋体" w:cs="宋体"/>
          <w:szCs w:val="21"/>
        </w:rPr>
        <w:t>、</w:t>
      </w:r>
      <w:r>
        <w:rPr>
          <w:rFonts w:ascii="宋体" w:hAnsi="宋体" w:cs="宋体"/>
          <w:szCs w:val="21"/>
        </w:rPr>
        <w:t>2017</w:t>
      </w:r>
      <w:r>
        <w:rPr>
          <w:rFonts w:hint="eastAsia" w:ascii="宋体" w:hAnsi="宋体" w:cs="宋体"/>
          <w:szCs w:val="21"/>
        </w:rPr>
        <w:t>级起开始执行。</w:t>
      </w:r>
    </w:p>
    <w:p>
      <w:pPr>
        <w:ind w:firstLine="420" w:firstLineChars="200"/>
        <w:rPr>
          <w:rFonts w:ascii="宋体" w:cs="宋体"/>
          <w:szCs w:val="21"/>
        </w:rPr>
      </w:pPr>
    </w:p>
    <w:p>
      <w:pPr>
        <w:ind w:firstLine="560" w:firstLineChars="200"/>
        <w:rPr>
          <w:rFonts w:ascii="宋体" w:cs="宋体"/>
          <w:sz w:val="28"/>
          <w:szCs w:val="28"/>
        </w:rPr>
      </w:pPr>
    </w:p>
    <w:p>
      <w:pPr>
        <w:ind w:firstLine="560" w:firstLineChars="200"/>
        <w:rPr>
          <w:rFonts w:ascii="宋体" w:cs="宋体"/>
          <w:sz w:val="28"/>
          <w:szCs w:val="28"/>
        </w:rPr>
      </w:pPr>
    </w:p>
    <w:p>
      <w:pPr>
        <w:ind w:firstLine="560" w:firstLineChars="200"/>
        <w:rPr>
          <w:rFonts w:ascii="宋体" w:cs="宋体"/>
          <w:sz w:val="28"/>
          <w:szCs w:val="28"/>
        </w:rPr>
      </w:pPr>
    </w:p>
    <w:p>
      <w:pPr>
        <w:ind w:firstLine="560" w:firstLineChars="200"/>
        <w:rPr>
          <w:rFonts w:ascii="宋体" w:cs="宋体"/>
          <w:sz w:val="28"/>
          <w:szCs w:val="28"/>
        </w:rPr>
      </w:pPr>
      <w:r>
        <w:rPr>
          <w:rFonts w:hint="eastAsia" w:ascii="宋体" w:hAnsi="宋体" w:cs="宋体"/>
          <w:sz w:val="28"/>
          <w:szCs w:val="28"/>
        </w:rPr>
        <w:t>学科或专业负责人签名：</w:t>
      </w:r>
    </w:p>
    <w:p>
      <w:pPr>
        <w:ind w:firstLine="560" w:firstLineChars="200"/>
        <w:rPr>
          <w:rFonts w:ascii="宋体" w:cs="宋体"/>
          <w:sz w:val="28"/>
          <w:szCs w:val="28"/>
        </w:rPr>
      </w:pPr>
    </w:p>
    <w:p>
      <w:pPr>
        <w:ind w:firstLine="560" w:firstLineChars="200"/>
        <w:rPr>
          <w:rFonts w:ascii="宋体" w:cs="宋体"/>
          <w:sz w:val="28"/>
          <w:szCs w:val="28"/>
        </w:rPr>
      </w:pPr>
      <w:r>
        <w:rPr>
          <w:rFonts w:hint="eastAsia" w:ascii="宋体" w:hAnsi="宋体" w:cs="宋体"/>
          <w:sz w:val="28"/>
          <w:szCs w:val="28"/>
        </w:rPr>
        <w:t>学院主管</w:t>
      </w:r>
      <w:r>
        <w:rPr>
          <w:rFonts w:hint="eastAsia" w:ascii="宋体" w:hAnsi="宋体" w:cs="宋体"/>
          <w:sz w:val="28"/>
          <w:szCs w:val="28"/>
          <w:lang w:eastAsia="zh-CN"/>
        </w:rPr>
        <w:t>副院长</w:t>
      </w:r>
      <w:r>
        <w:rPr>
          <w:rFonts w:hint="eastAsia" w:ascii="宋体" w:hAnsi="宋体" w:cs="宋体"/>
          <w:sz w:val="28"/>
          <w:szCs w:val="28"/>
        </w:rPr>
        <w:t>签名</w:t>
      </w:r>
      <w:r>
        <w:rPr>
          <w:rFonts w:hint="eastAsia" w:ascii="宋体" w:hAnsi="宋体" w:cs="宋体"/>
          <w:sz w:val="28"/>
          <w:szCs w:val="28"/>
          <w:lang w:eastAsia="zh-CN"/>
        </w:rPr>
        <w:t>：</w:t>
      </w:r>
      <w:r>
        <w:rPr>
          <w:rFonts w:hint="eastAsia" w:ascii="宋体" w:hAnsi="宋体" w:cs="宋体"/>
          <w:sz w:val="28"/>
          <w:szCs w:val="28"/>
        </w:rPr>
        <w:t>（学院公章）</w:t>
      </w:r>
    </w:p>
    <w:p>
      <w:pPr>
        <w:ind w:firstLine="560" w:firstLineChars="200"/>
        <w:rPr>
          <w:rFonts w:ascii="宋体" w:cs="宋体"/>
          <w:sz w:val="28"/>
          <w:szCs w:val="28"/>
        </w:rPr>
      </w:pPr>
    </w:p>
    <w:p>
      <w:pPr>
        <w:ind w:firstLine="560" w:firstLineChars="200"/>
        <w:rPr>
          <w:rFonts w:ascii="宋体" w:cs="宋体"/>
          <w:sz w:val="28"/>
          <w:szCs w:val="28"/>
        </w:rPr>
      </w:pPr>
      <w:r>
        <w:rPr>
          <w:rFonts w:hint="eastAsia" w:ascii="宋体" w:hAnsi="宋体" w:cs="宋体"/>
          <w:sz w:val="28"/>
          <w:szCs w:val="28"/>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ingLiU">
    <w:panose1 w:val="02020509000000000000"/>
    <w:charset w:val="88"/>
    <w:family w:val="auto"/>
    <w:pitch w:val="default"/>
    <w:sig w:usb0="A00002FF" w:usb1="2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Aharoni">
    <w:panose1 w:val="02010803020104030203"/>
    <w:charset w:val="00"/>
    <w:family w:val="auto"/>
    <w:pitch w:val="default"/>
    <w:sig w:usb0="00000801" w:usb1="00000000" w:usb2="00000000" w:usb3="00000000" w:csb0="00000020" w:csb1="00200000"/>
  </w:font>
  <w:font w:name="Andalus">
    <w:panose1 w:val="02020603050405020304"/>
    <w:charset w:val="00"/>
    <w:family w:val="auto"/>
    <w:pitch w:val="default"/>
    <w:sig w:usb0="00002003" w:usb1="80000000" w:usb2="00000008" w:usb3="00000000" w:csb0="00000041" w:csb1="20080000"/>
  </w:font>
  <w:font w:name="Arial Black">
    <w:panose1 w:val="020B0A040201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rdiaUPC">
    <w:panose1 w:val="020B0304020202020204"/>
    <w:charset w:val="00"/>
    <w:family w:val="auto"/>
    <w:pitch w:val="default"/>
    <w:sig w:usb0="81000003" w:usb1="00000000" w:usb2="00000000" w:usb3="00000000" w:csb0="00010001" w:csb1="00000000"/>
  </w:font>
  <w:font w:name="Estrangelo Edessa">
    <w:panose1 w:val="03080600000000000000"/>
    <w:charset w:val="00"/>
    <w:family w:val="auto"/>
    <w:pitch w:val="default"/>
    <w:sig w:usb0="80002043" w:usb1="00000000" w:usb2="00000080" w:usb3="00000000" w:csb0="00000001" w:csb1="00000000"/>
  </w:font>
  <w:font w:name="Franklin Gothic Medium">
    <w:panose1 w:val="020B0603020102020204"/>
    <w:charset w:val="00"/>
    <w:family w:val="auto"/>
    <w:pitch w:val="default"/>
    <w:sig w:usb0="00000287" w:usb1="00000000" w:usb2="00000000" w:usb3="00000000" w:csb0="2000009F" w:csb1="DFD70000"/>
  </w:font>
  <w:font w:name="Gisha">
    <w:panose1 w:val="020B0502040204020203"/>
    <w:charset w:val="00"/>
    <w:family w:val="auto"/>
    <w:pitch w:val="default"/>
    <w:sig w:usb0="80000807" w:usb1="40000042" w:usb2="00000000" w:usb3="00000000" w:csb0="00000021" w:csb1="00000000"/>
  </w:font>
  <w:font w:name="JasmineUPC">
    <w:panose1 w:val="02020603050405020304"/>
    <w:charset w:val="00"/>
    <w:family w:val="auto"/>
    <w:pitch w:val="default"/>
    <w:sig w:usb0="01000007" w:usb1="00000002" w:usb2="00000000" w:usb3="00000000" w:csb0="00010001" w:csb1="00000000"/>
  </w:font>
  <w:font w:name="Levenim MT">
    <w:panose1 w:val="02010502060101010101"/>
    <w:charset w:val="00"/>
    <w:family w:val="auto"/>
    <w:pitch w:val="default"/>
    <w:sig w:usb0="00000801" w:usb1="00000000" w:usb2="00000000" w:usb3="00000000" w:csb0="00000020" w:csb1="00200000"/>
  </w:font>
  <w:font w:name="Lucida Console">
    <w:panose1 w:val="020B0609040504020204"/>
    <w:charset w:val="00"/>
    <w:family w:val="auto"/>
    <w:pitch w:val="default"/>
    <w:sig w:usb0="8000028F" w:usb1="00001800" w:usb2="00000000" w:usb3="00000000" w:csb0="0000001F" w:csb1="D7D70000"/>
  </w:font>
  <w:font w:name="Microsoft Himalaya">
    <w:panose1 w:val="01010100010101010101"/>
    <w:charset w:val="00"/>
    <w:family w:val="auto"/>
    <w:pitch w:val="default"/>
    <w:sig w:usb0="80000003" w:usb1="00010000" w:usb2="00000040" w:usb3="00000000" w:csb0="00000001" w:csb1="00000000"/>
  </w:font>
  <w:font w:name="Microsoft PhagsPa">
    <w:panose1 w:val="020B0502040204020203"/>
    <w:charset w:val="00"/>
    <w:family w:val="auto"/>
    <w:pitch w:val="default"/>
    <w:sig w:usb0="00000003" w:usb1="00200000" w:usb2="08000000" w:usb3="00000000" w:csb0="00000001" w:csb1="00000000"/>
  </w:font>
  <w:font w:name="Raavi">
    <w:panose1 w:val="020B0502040204020203"/>
    <w:charset w:val="00"/>
    <w:family w:val="auto"/>
    <w:pitch w:val="default"/>
    <w:sig w:usb0="00020003" w:usb1="00000000" w:usb2="00000000" w:usb3="00000000" w:csb0="00000001" w:csb1="00000000"/>
  </w:font>
  <w:font w:name="Segoe Script">
    <w:panose1 w:val="020B0504020000000003"/>
    <w:charset w:val="00"/>
    <w:family w:val="auto"/>
    <w:pitch w:val="default"/>
    <w:sig w:usb0="0000028F" w:usb1="00000000" w:usb2="00000000" w:usb3="00000000" w:csb0="0000009F" w:csb1="00000000"/>
  </w:font>
  <w:font w:name="Simplified Arabic">
    <w:panose1 w:val="02020603050405020304"/>
    <w:charset w:val="00"/>
    <w:family w:val="auto"/>
    <w:pitch w:val="default"/>
    <w:sig w:usb0="00002003" w:usb1="00000000" w:usb2="00000000" w:usb3="00000000" w:csb0="00000041" w:csb1="20080000"/>
  </w:font>
  <w:font w:name="Vani">
    <w:panose1 w:val="020B0502040204020203"/>
    <w:charset w:val="00"/>
    <w:family w:val="auto"/>
    <w:pitch w:val="default"/>
    <w:sig w:usb0="0020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jc w:val="right"/>
      <w:rPr>
        <w:rFonts w:ascii="楷体" w:hAnsi="楷体" w:eastAsia="楷体" w:cs="楷体"/>
        <w:i/>
        <w:iCs/>
        <w:sz w:val="24"/>
        <w:u w:val="single"/>
      </w:rPr>
    </w:pPr>
    <w:r>
      <w:rPr>
        <w:rFonts w:hint="eastAsia" w:ascii="楷体" w:hAnsi="楷体" w:eastAsia="楷体" w:cs="楷体"/>
        <w:i/>
        <w:iCs/>
        <w:sz w:val="24"/>
        <w:u w:val="single"/>
      </w:rPr>
      <w:t>广东海洋大学</w:t>
    </w:r>
    <w:r>
      <w:rPr>
        <w:rFonts w:hint="eastAsia" w:ascii="楷体" w:hAnsi="楷体" w:eastAsia="楷体" w:cs="楷体"/>
        <w:i/>
        <w:iCs/>
        <w:sz w:val="24"/>
        <w:u w:val="single"/>
        <w:lang w:eastAsia="zh-CN"/>
      </w:rPr>
      <w:t>专业学位</w:t>
    </w:r>
    <w:r>
      <w:rPr>
        <w:rFonts w:hint="eastAsia" w:ascii="楷体" w:hAnsi="楷体" w:eastAsia="楷体" w:cs="楷体"/>
        <w:i/>
        <w:iCs/>
        <w:sz w:val="24"/>
        <w:u w:val="single"/>
      </w:rPr>
      <w:t>硕士研究生培养方案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7B61B66"/>
    <w:rsid w:val="00145780"/>
    <w:rsid w:val="00270773"/>
    <w:rsid w:val="0037018B"/>
    <w:rsid w:val="003737E3"/>
    <w:rsid w:val="00483232"/>
    <w:rsid w:val="00491BFD"/>
    <w:rsid w:val="00494AA3"/>
    <w:rsid w:val="004C51C9"/>
    <w:rsid w:val="00560908"/>
    <w:rsid w:val="005F3C78"/>
    <w:rsid w:val="0060430A"/>
    <w:rsid w:val="00627DC9"/>
    <w:rsid w:val="00646F0B"/>
    <w:rsid w:val="00741D99"/>
    <w:rsid w:val="0083748B"/>
    <w:rsid w:val="008C1D61"/>
    <w:rsid w:val="008D702D"/>
    <w:rsid w:val="00955BB6"/>
    <w:rsid w:val="009D3513"/>
    <w:rsid w:val="00A27EAE"/>
    <w:rsid w:val="00A849E0"/>
    <w:rsid w:val="00AA4064"/>
    <w:rsid w:val="00AB13AD"/>
    <w:rsid w:val="00B65F76"/>
    <w:rsid w:val="00BB7F2D"/>
    <w:rsid w:val="00C64462"/>
    <w:rsid w:val="00D65FD7"/>
    <w:rsid w:val="00DD052C"/>
    <w:rsid w:val="00E06DDB"/>
    <w:rsid w:val="00E22027"/>
    <w:rsid w:val="00E4755D"/>
    <w:rsid w:val="00E94C80"/>
    <w:rsid w:val="00EF7D3B"/>
    <w:rsid w:val="04174B47"/>
    <w:rsid w:val="060E68C9"/>
    <w:rsid w:val="07077884"/>
    <w:rsid w:val="08406668"/>
    <w:rsid w:val="09DD4B61"/>
    <w:rsid w:val="0E122BEF"/>
    <w:rsid w:val="11845EF6"/>
    <w:rsid w:val="15370F04"/>
    <w:rsid w:val="15C42195"/>
    <w:rsid w:val="17540089"/>
    <w:rsid w:val="1A7253F4"/>
    <w:rsid w:val="28FE06D9"/>
    <w:rsid w:val="2A7A6756"/>
    <w:rsid w:val="2F2407C4"/>
    <w:rsid w:val="36242AFA"/>
    <w:rsid w:val="38012B29"/>
    <w:rsid w:val="40BF14B2"/>
    <w:rsid w:val="43B66CB4"/>
    <w:rsid w:val="499525D6"/>
    <w:rsid w:val="53FE231D"/>
    <w:rsid w:val="57B61B66"/>
    <w:rsid w:val="64281FCB"/>
    <w:rsid w:val="718A5DE3"/>
    <w:rsid w:val="7C397D63"/>
    <w:rsid w:val="7E713B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99"/>
    <w:pPr>
      <w:keepNext/>
      <w:keepLines/>
      <w:spacing w:before="340" w:after="330" w:line="578" w:lineRule="auto"/>
      <w:jc w:val="center"/>
      <w:outlineLvl w:val="0"/>
    </w:pPr>
    <w:rPr>
      <w:b/>
      <w:bCs/>
      <w:kern w:val="44"/>
      <w:sz w:val="32"/>
      <w:szCs w:val="44"/>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qFormat/>
    <w:uiPriority w:val="99"/>
    <w:rPr>
      <w:rFonts w:cs="Times New Roman"/>
      <w:color w:val="1155CC"/>
      <w:u w:val="none"/>
    </w:rPr>
  </w:style>
  <w:style w:type="character" w:customStyle="1" w:styleId="8">
    <w:name w:val="标题 1 Char"/>
    <w:basedOn w:val="5"/>
    <w:link w:val="2"/>
    <w:qFormat/>
    <w:locked/>
    <w:uiPriority w:val="99"/>
    <w:rPr>
      <w:rFonts w:cs="Times New Roman"/>
      <w:b/>
      <w:bCs/>
      <w:kern w:val="44"/>
      <w:sz w:val="44"/>
      <w:szCs w:val="44"/>
    </w:rPr>
  </w:style>
  <w:style w:type="character" w:customStyle="1" w:styleId="9">
    <w:name w:val="页脚 Char"/>
    <w:basedOn w:val="5"/>
    <w:link w:val="3"/>
    <w:semiHidden/>
    <w:qFormat/>
    <w:locked/>
    <w:uiPriority w:val="99"/>
    <w:rPr>
      <w:rFonts w:cs="Times New Roman"/>
      <w:sz w:val="18"/>
      <w:szCs w:val="18"/>
    </w:rPr>
  </w:style>
  <w:style w:type="character" w:customStyle="1" w:styleId="10">
    <w:name w:val="页眉 Char"/>
    <w:basedOn w:val="5"/>
    <w:link w:val="4"/>
    <w:semiHidden/>
    <w:qFormat/>
    <w:locked/>
    <w:uiPriority w:val="99"/>
    <w:rPr>
      <w:rFonts w:cs="Times New Roman"/>
      <w:sz w:val="18"/>
      <w:szCs w:val="18"/>
    </w:rPr>
  </w:style>
  <w:style w:type="paragraph" w:customStyle="1" w:styleId="11">
    <w:name w:val="样式1"/>
    <w:basedOn w:val="1"/>
    <w:qFormat/>
    <w:uiPriority w:val="99"/>
    <w:pPr>
      <w:widowControl/>
      <w:spacing w:line="360" w:lineRule="auto"/>
      <w:ind w:firstLine="200" w:firstLineChars="200"/>
    </w:pPr>
    <w:rPr>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402</Words>
  <Characters>2297</Characters>
  <Lines>19</Lines>
  <Paragraphs>5</Paragraphs>
  <ScaleCrop>false</ScaleCrop>
  <LinksUpToDate>false</LinksUpToDate>
  <CharactersWithSpaces>2694</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2017-03-03T07:21:00Z</dcterms:created>
  <dc:creator>Administrator</dc:creator>
  <cp:lastModifiedBy>Administrator</cp:lastModifiedBy>
  <cp:lastPrinted>2017-04-13T01:55:00Z</cp:lastPrinted>
  <dcterms:modified xsi:type="dcterms:W3CDTF">2017-04-24T08:31:25Z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